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88A8">
      <w:pPr>
        <w:pStyle w:val="4"/>
        <w:ind w:left="0" w:leftChars="0" w:firstLine="0" w:firstLineChars="0"/>
        <w:jc w:val="both"/>
        <w:rPr>
          <w:rFonts w:hint="eastAsia" w:ascii="黑体" w:hAnsi="黑体" w:eastAsia="黑体" w:cs="黑体"/>
          <w:b/>
          <w:bCs/>
          <w:color w:val="auto"/>
          <w:sz w:val="48"/>
          <w:szCs w:val="48"/>
          <w:highlight w:val="none"/>
          <w:lang w:eastAsia="zh-CN"/>
        </w:rPr>
      </w:pPr>
    </w:p>
    <w:p w14:paraId="7890F40E">
      <w:pPr>
        <w:spacing w:line="240" w:lineRule="auto"/>
        <w:ind w:firstLine="0" w:firstLineChars="0"/>
        <w:jc w:val="center"/>
        <w:rPr>
          <w:rFonts w:hint="default" w:ascii="黑体" w:hAnsi="黑体" w:eastAsia="黑体" w:cs="黑体"/>
          <w:b/>
          <w:bCs/>
          <w:color w:val="000000"/>
          <w:sz w:val="48"/>
          <w:szCs w:val="48"/>
          <w:highlight w:val="none"/>
          <w:lang w:val="en-US" w:eastAsia="zh-CN"/>
        </w:rPr>
      </w:pPr>
      <w:r>
        <w:rPr>
          <w:rFonts w:hint="eastAsia" w:ascii="黑体" w:hAnsi="黑体" w:eastAsia="黑体" w:cs="黑体"/>
          <w:b/>
          <w:bCs/>
          <w:color w:val="000000"/>
          <w:sz w:val="48"/>
          <w:szCs w:val="48"/>
          <w:highlight w:val="none"/>
          <w:lang w:eastAsia="zh-CN"/>
        </w:rPr>
        <w:t>播州区排水管网改建(二期)项目新增土寨工程材料(纳米合金管)采购</w:t>
      </w:r>
    </w:p>
    <w:p w14:paraId="2EA5D1E2">
      <w:pPr>
        <w:spacing w:line="240" w:lineRule="auto"/>
        <w:ind w:firstLine="0" w:firstLineChars="0"/>
        <w:jc w:val="center"/>
        <w:rPr>
          <w:rFonts w:hint="eastAsia" w:ascii="黑体" w:hAnsi="黑体" w:eastAsia="黑体" w:cs="黑体"/>
          <w:b/>
          <w:bCs/>
          <w:color w:val="000000"/>
          <w:sz w:val="48"/>
          <w:szCs w:val="48"/>
          <w:highlight w:val="none"/>
          <w:lang w:eastAsia="zh-CN"/>
        </w:rPr>
      </w:pPr>
    </w:p>
    <w:p w14:paraId="13D8B3E2">
      <w:pPr>
        <w:spacing w:line="240" w:lineRule="auto"/>
        <w:ind w:firstLine="0" w:firstLineChars="0"/>
        <w:jc w:val="center"/>
        <w:rPr>
          <w:rFonts w:hint="eastAsia" w:ascii="黑体" w:hAnsi="黑体" w:eastAsia="黑体" w:cs="黑体"/>
          <w:b/>
          <w:bCs/>
          <w:color w:val="000000"/>
          <w:sz w:val="48"/>
          <w:szCs w:val="48"/>
          <w:highlight w:val="none"/>
          <w:lang w:eastAsia="zh-CN"/>
        </w:rPr>
      </w:pPr>
    </w:p>
    <w:p w14:paraId="57EB2370">
      <w:pPr>
        <w:spacing w:line="240" w:lineRule="auto"/>
        <w:ind w:firstLine="0" w:firstLineChars="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lang w:eastAsia="zh-CN"/>
        </w:rPr>
        <w:t>谈判采购</w:t>
      </w:r>
      <w:r>
        <w:rPr>
          <w:rFonts w:hint="eastAsia" w:ascii="黑体" w:hAnsi="黑体" w:eastAsia="黑体" w:cs="黑体"/>
          <w:b/>
          <w:bCs/>
          <w:color w:val="auto"/>
          <w:sz w:val="72"/>
          <w:szCs w:val="72"/>
          <w:highlight w:val="none"/>
        </w:rPr>
        <w:t>文件</w:t>
      </w:r>
    </w:p>
    <w:p w14:paraId="215672CF">
      <w:pPr>
        <w:spacing w:line="240" w:lineRule="auto"/>
        <w:ind w:firstLine="0" w:firstLineChars="0"/>
        <w:jc w:val="center"/>
        <w:rPr>
          <w:rFonts w:hint="eastAsia" w:ascii="黑体" w:hAnsi="黑体" w:eastAsia="黑体" w:cs="黑体"/>
          <w:b/>
          <w:bCs/>
          <w:color w:val="auto"/>
          <w:sz w:val="72"/>
          <w:szCs w:val="72"/>
          <w:highlight w:val="none"/>
        </w:rPr>
      </w:pPr>
    </w:p>
    <w:p w14:paraId="66095C2E">
      <w:pPr>
        <w:spacing w:line="240" w:lineRule="auto"/>
        <w:ind w:firstLine="0" w:firstLineChars="0"/>
        <w:jc w:val="center"/>
        <w:rPr>
          <w:rFonts w:hint="eastAsia" w:ascii="黑体" w:hAnsi="黑体" w:eastAsia="黑体" w:cs="黑体"/>
          <w:b/>
          <w:bCs/>
          <w:color w:val="auto"/>
          <w:sz w:val="72"/>
          <w:szCs w:val="72"/>
          <w:highlight w:val="none"/>
        </w:rPr>
      </w:pPr>
    </w:p>
    <w:p w14:paraId="6C66811D">
      <w:pPr>
        <w:spacing w:line="240" w:lineRule="auto"/>
        <w:ind w:firstLine="0" w:firstLineChars="0"/>
        <w:jc w:val="center"/>
        <w:rPr>
          <w:rFonts w:hint="eastAsia" w:ascii="黑体" w:hAnsi="黑体" w:eastAsia="黑体" w:cs="黑体"/>
          <w:b/>
          <w:bCs/>
          <w:color w:val="auto"/>
          <w:sz w:val="72"/>
          <w:szCs w:val="72"/>
          <w:highlight w:val="none"/>
        </w:rPr>
      </w:pPr>
    </w:p>
    <w:p w14:paraId="1DED6373">
      <w:pPr>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rPr>
        <w:t>项目编号：</w:t>
      </w:r>
      <w:r>
        <w:rPr>
          <w:rFonts w:hint="eastAsia" w:ascii="黑体" w:hAnsi="黑体" w:eastAsia="黑体" w:cs="黑体"/>
          <w:b/>
          <w:bCs/>
          <w:sz w:val="28"/>
          <w:szCs w:val="28"/>
          <w:highlight w:val="none"/>
          <w:lang w:val="en-US" w:eastAsia="zh-CN"/>
        </w:rPr>
        <w:t>LQ-2026-164</w:t>
      </w:r>
      <w:r>
        <w:rPr>
          <w:rFonts w:hint="eastAsia" w:ascii="黑体" w:hAnsi="黑体" w:eastAsia="黑体" w:cs="黑体"/>
          <w:b/>
          <w:color w:val="000000"/>
          <w:sz w:val="30"/>
          <w:szCs w:val="30"/>
          <w:highlight w:val="none"/>
        </w:rPr>
        <w:t>号</w:t>
      </w:r>
      <w:r>
        <w:rPr>
          <w:rFonts w:hint="eastAsia" w:ascii="黑体" w:hAnsi="黑体" w:eastAsia="黑体" w:cs="黑体"/>
          <w:b/>
          <w:bCs/>
          <w:sz w:val="28"/>
          <w:szCs w:val="28"/>
          <w:highlight w:val="none"/>
          <w:lang w:val="en-US" w:eastAsia="zh-CN"/>
        </w:rPr>
        <w:t xml:space="preserve">）   </w:t>
      </w:r>
    </w:p>
    <w:p w14:paraId="374429BF">
      <w:pPr>
        <w:pStyle w:val="5"/>
        <w:spacing w:before="6"/>
        <w:ind w:firstLine="663"/>
        <w:outlineLvl w:val="9"/>
        <w:rPr>
          <w:rFonts w:hint="eastAsia" w:ascii="黑体" w:hAnsi="黑体" w:eastAsia="黑体" w:cs="黑体"/>
          <w:b/>
          <w:color w:val="auto"/>
          <w:sz w:val="33"/>
          <w:highlight w:val="none"/>
        </w:rPr>
      </w:pPr>
    </w:p>
    <w:p w14:paraId="3BCF3DD5">
      <w:pPr>
        <w:bidi w:val="0"/>
        <w:rPr>
          <w:rFonts w:hint="eastAsia"/>
        </w:rPr>
      </w:pPr>
    </w:p>
    <w:p w14:paraId="545E6BEA">
      <w:pPr>
        <w:pStyle w:val="5"/>
        <w:spacing w:before="6"/>
        <w:ind w:firstLine="663"/>
        <w:outlineLvl w:val="9"/>
        <w:rPr>
          <w:rFonts w:hint="eastAsia" w:ascii="黑体" w:hAnsi="黑体" w:eastAsia="黑体" w:cs="黑体"/>
          <w:b/>
          <w:color w:val="auto"/>
          <w:sz w:val="33"/>
          <w:highlight w:val="none"/>
        </w:rPr>
      </w:pPr>
    </w:p>
    <w:p w14:paraId="233361E7">
      <w:pPr>
        <w:ind w:firstLine="480"/>
        <w:rPr>
          <w:rFonts w:hint="eastAsia" w:ascii="黑体" w:hAnsi="黑体" w:eastAsia="黑体" w:cs="黑体"/>
          <w:color w:val="auto"/>
          <w:highlight w:val="none"/>
        </w:rPr>
      </w:pPr>
    </w:p>
    <w:p w14:paraId="42004AD0">
      <w:pPr>
        <w:ind w:left="0" w:leftChars="0" w:firstLine="0" w:firstLineChars="0"/>
        <w:jc w:val="both"/>
        <w:rPr>
          <w:rFonts w:hint="eastAsia" w:ascii="黑体" w:hAnsi="黑体" w:eastAsia="黑体" w:cs="黑体"/>
          <w:b/>
          <w:bCs/>
          <w:color w:val="auto"/>
          <w:sz w:val="36"/>
          <w:szCs w:val="36"/>
          <w:highlight w:val="none"/>
        </w:rPr>
      </w:pPr>
    </w:p>
    <w:p w14:paraId="12388264">
      <w:pPr>
        <w:ind w:left="720" w:leftChars="300" w:firstLine="0" w:firstLineChars="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采购单位：</w:t>
      </w:r>
      <w:r>
        <w:rPr>
          <w:rFonts w:hint="eastAsia" w:ascii="黑体" w:hAnsi="黑体" w:eastAsia="黑体" w:cs="黑体"/>
          <w:b/>
          <w:bCs/>
          <w:color w:val="auto"/>
          <w:sz w:val="36"/>
          <w:szCs w:val="36"/>
          <w:highlight w:val="none"/>
          <w:lang w:eastAsia="zh-CN"/>
        </w:rPr>
        <w:t>遵义路桥播城工程建设有限公司</w:t>
      </w:r>
    </w:p>
    <w:p w14:paraId="08FBA8E4">
      <w:pPr>
        <w:ind w:left="720" w:leftChars="300" w:firstLine="0" w:firstLineChars="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代理</w:t>
      </w:r>
      <w:r>
        <w:rPr>
          <w:rFonts w:hint="eastAsia" w:ascii="黑体" w:hAnsi="黑体" w:eastAsia="黑体" w:cs="黑体"/>
          <w:b/>
          <w:bCs/>
          <w:color w:val="auto"/>
          <w:sz w:val="36"/>
          <w:szCs w:val="36"/>
          <w:highlight w:val="none"/>
          <w:lang w:val="en-US" w:eastAsia="zh-CN"/>
        </w:rPr>
        <w:t>机构</w:t>
      </w:r>
      <w:r>
        <w:rPr>
          <w:rFonts w:hint="eastAsia" w:ascii="黑体" w:hAnsi="黑体" w:eastAsia="黑体" w:cs="黑体"/>
          <w:b/>
          <w:bCs/>
          <w:color w:val="auto"/>
          <w:sz w:val="36"/>
          <w:szCs w:val="36"/>
          <w:highlight w:val="none"/>
          <w:lang w:eastAsia="zh-CN"/>
        </w:rPr>
        <w:t>：遵义交科工程检测有限公司</w:t>
      </w:r>
    </w:p>
    <w:p w14:paraId="2CBEBE07">
      <w:pPr>
        <w:keepNext w:val="0"/>
        <w:keepLines w:val="0"/>
        <w:pageBreakBefore w:val="0"/>
        <w:widowControl w:val="0"/>
        <w:kinsoku/>
        <w:wordWrap/>
        <w:overflowPunct/>
        <w:topLinePunct w:val="0"/>
        <w:autoSpaceDE/>
        <w:autoSpaceDN/>
        <w:bidi w:val="0"/>
        <w:adjustRightInd/>
        <w:snapToGrid/>
        <w:spacing w:before="0" w:after="0" w:line="480" w:lineRule="auto"/>
        <w:ind w:left="0" w:leftChars="0" w:right="0" w:rightChars="0" w:firstLine="723" w:firstLineChars="200"/>
        <w:jc w:val="both"/>
        <w:textAlignment w:val="auto"/>
        <w:rPr>
          <w:rFonts w:hint="eastAsia" w:ascii="黑体" w:hAnsi="黑体" w:eastAsia="黑体" w:cs="黑体"/>
          <w:b/>
          <w:bCs/>
          <w:sz w:val="32"/>
          <w:szCs w:val="32"/>
          <w:highlight w:val="none"/>
          <w:lang w:val="zh-TW" w:eastAsia="zh-TW"/>
        </w:rPr>
        <w:sectPr>
          <w:headerReference r:id="rId5" w:type="default"/>
          <w:footerReference r:id="rId6" w:type="default"/>
          <w:pgSz w:w="11905" w:h="16838"/>
          <w:pgMar w:top="1417" w:right="1417" w:bottom="1417" w:left="1417" w:header="720" w:footer="720" w:gutter="0"/>
          <w:cols w:space="720" w:num="1"/>
          <w:docGrid w:linePitch="285" w:charSpace="0"/>
        </w:sectPr>
      </w:pPr>
      <w:r>
        <w:rPr>
          <w:rFonts w:hint="eastAsia" w:ascii="黑体" w:hAnsi="黑体" w:eastAsia="黑体" w:cs="黑体"/>
          <w:b/>
          <w:bCs/>
          <w:color w:val="auto"/>
          <w:sz w:val="36"/>
          <w:szCs w:val="36"/>
          <w:highlight w:val="none"/>
        </w:rPr>
        <w:t>日    期：</w:t>
      </w:r>
      <w:bookmarkStart w:id="0" w:name="_Toc407182460"/>
      <w:bookmarkStart w:id="1" w:name="_Toc407169867"/>
      <w:bookmarkStart w:id="2" w:name="_Toc407182659"/>
      <w:r>
        <w:rPr>
          <w:rFonts w:hint="eastAsia" w:ascii="黑体" w:hAnsi="黑体" w:eastAsia="黑体" w:cs="黑体"/>
          <w:b/>
          <w:bCs/>
          <w:sz w:val="32"/>
          <w:szCs w:val="32"/>
          <w:highlight w:val="none"/>
          <w:lang w:val="zh-TW" w:eastAsia="zh-TW"/>
        </w:rPr>
        <w:t>二〇二</w:t>
      </w:r>
      <w:r>
        <w:rPr>
          <w:rFonts w:hint="eastAsia" w:ascii="黑体" w:hAnsi="黑体" w:eastAsia="黑体" w:cs="黑体"/>
          <w:b/>
          <w:bCs/>
          <w:sz w:val="32"/>
          <w:szCs w:val="32"/>
          <w:highlight w:val="none"/>
          <w:lang w:val="en-US" w:eastAsia="zh-CN"/>
        </w:rPr>
        <w:t>六</w:t>
      </w:r>
      <w:r>
        <w:rPr>
          <w:rFonts w:hint="eastAsia" w:ascii="黑体" w:hAnsi="黑体" w:eastAsia="黑体" w:cs="黑体"/>
          <w:b/>
          <w:bCs/>
          <w:sz w:val="32"/>
          <w:szCs w:val="32"/>
          <w:highlight w:val="none"/>
          <w:lang w:val="zh-TW" w:eastAsia="zh-TW"/>
        </w:rPr>
        <w:t>年</w:t>
      </w:r>
      <w:r>
        <w:rPr>
          <w:rFonts w:hint="eastAsia" w:ascii="黑体" w:hAnsi="黑体" w:eastAsia="黑体" w:cs="黑体"/>
          <w:b/>
          <w:bCs/>
          <w:sz w:val="32"/>
          <w:szCs w:val="32"/>
          <w:highlight w:val="none"/>
          <w:lang w:val="en-US" w:eastAsia="zh-CN"/>
        </w:rPr>
        <w:t>五</w:t>
      </w:r>
      <w:r>
        <w:rPr>
          <w:rFonts w:hint="eastAsia" w:ascii="黑体" w:hAnsi="黑体" w:eastAsia="黑体" w:cs="黑体"/>
          <w:b/>
          <w:bCs/>
          <w:sz w:val="32"/>
          <w:szCs w:val="32"/>
          <w:highlight w:val="none"/>
          <w:lang w:val="zh-TW" w:eastAsia="zh-TW"/>
        </w:rPr>
        <w:t>月</w:t>
      </w:r>
    </w:p>
    <w:p w14:paraId="2A198AB8">
      <w:pPr>
        <w:keepNext w:val="0"/>
        <w:keepLines w:val="0"/>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rPr>
          <w:b/>
          <w:bCs/>
          <w:sz w:val="56"/>
          <w:szCs w:val="56"/>
          <w:highlight w:val="none"/>
        </w:rPr>
      </w:pPr>
      <w:r>
        <w:rPr>
          <w:rFonts w:ascii="宋体" w:hAnsi="宋体" w:eastAsia="宋体"/>
          <w:b/>
          <w:bCs/>
          <w:sz w:val="48"/>
          <w:szCs w:val="56"/>
          <w:highlight w:val="none"/>
        </w:rPr>
        <w:t>目</w:t>
      </w:r>
      <w:r>
        <w:rPr>
          <w:rFonts w:hint="eastAsia" w:ascii="宋体" w:hAnsi="宋体" w:eastAsia="宋体"/>
          <w:b/>
          <w:bCs/>
          <w:sz w:val="48"/>
          <w:szCs w:val="56"/>
          <w:highlight w:val="none"/>
          <w:lang w:val="en-US" w:eastAsia="zh-CN"/>
        </w:rPr>
        <w:t xml:space="preserve"> </w:t>
      </w:r>
      <w:r>
        <w:rPr>
          <w:rFonts w:ascii="宋体" w:hAnsi="宋体" w:eastAsia="宋体"/>
          <w:b/>
          <w:bCs/>
          <w:sz w:val="48"/>
          <w:szCs w:val="56"/>
          <w:highlight w:val="none"/>
        </w:rPr>
        <w:t>录</w:t>
      </w:r>
    </w:p>
    <w:p w14:paraId="3156B8BB">
      <w:pPr>
        <w:pStyle w:val="8"/>
        <w:keepNext w:val="0"/>
        <w:keepLines w:val="0"/>
        <w:pageBreakBefore w:val="0"/>
        <w:widowControl w:val="0"/>
        <w:tabs>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TOC \o "1-1" \h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_Toc25505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val="en-US" w:eastAsia="zh-CN"/>
        </w:rPr>
        <w:t>第一章 谈判采购公告..</w:t>
      </w:r>
      <w:r>
        <w:rPr>
          <w:rFonts w:hint="eastAsia" w:ascii="宋体" w:hAnsi="宋体" w:eastAsia="宋体" w:cs="宋体"/>
          <w:bCs/>
          <w:kern w:val="0"/>
          <w:sz w:val="36"/>
          <w:szCs w:val="36"/>
          <w:highlight w:val="none"/>
          <w:lang w:val="en-US" w:eastAsia="zh-CN"/>
        </w:rPr>
        <w:tab/>
      </w:r>
      <w:r>
        <w:rPr>
          <w:rFonts w:hint="eastAsia" w:ascii="宋体" w:hAnsi="宋体" w:eastAsia="宋体" w:cs="宋体"/>
          <w:bCs/>
          <w:kern w:val="0"/>
          <w:sz w:val="36"/>
          <w:szCs w:val="36"/>
          <w:highlight w:val="none"/>
          <w:lang w:val="en-US" w:eastAsia="zh-CN"/>
        </w:rPr>
        <w:t>......</w:t>
      </w:r>
      <w:r>
        <w:rPr>
          <w:sz w:val="36"/>
          <w:szCs w:val="36"/>
          <w:highlight w:val="none"/>
        </w:rPr>
        <w:tab/>
      </w:r>
      <w:r>
        <w:rPr>
          <w:sz w:val="36"/>
          <w:szCs w:val="36"/>
          <w:highlight w:val="none"/>
        </w:rPr>
        <w:fldChar w:fldCharType="begin"/>
      </w:r>
      <w:r>
        <w:rPr>
          <w:sz w:val="36"/>
          <w:szCs w:val="36"/>
          <w:highlight w:val="none"/>
        </w:rPr>
        <w:instrText xml:space="preserve"> PAGEREF _Toc25505 \h </w:instrText>
      </w:r>
      <w:r>
        <w:rPr>
          <w:sz w:val="36"/>
          <w:szCs w:val="36"/>
          <w:highlight w:val="none"/>
        </w:rPr>
        <w:fldChar w:fldCharType="separate"/>
      </w:r>
      <w:r>
        <w:rPr>
          <w:sz w:val="36"/>
          <w:szCs w:val="36"/>
          <w:highlight w:val="none"/>
        </w:rPr>
        <w:t>2</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40AA8D4D">
      <w:pPr>
        <w:pStyle w:val="8"/>
        <w:keepNext w:val="0"/>
        <w:keepLines w:val="0"/>
        <w:pageBreakBefore w:val="0"/>
        <w:widowControl w:val="0"/>
        <w:tabs>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_Toc19507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rPr>
        <w:t>第二章 供应商须知</w:t>
      </w:r>
      <w:r>
        <w:rPr>
          <w:sz w:val="36"/>
          <w:szCs w:val="36"/>
          <w:highlight w:val="none"/>
        </w:rPr>
        <w:tab/>
      </w:r>
      <w:r>
        <w:rPr>
          <w:sz w:val="36"/>
          <w:szCs w:val="36"/>
          <w:highlight w:val="none"/>
        </w:rPr>
        <w:fldChar w:fldCharType="begin"/>
      </w:r>
      <w:r>
        <w:rPr>
          <w:sz w:val="36"/>
          <w:szCs w:val="36"/>
          <w:highlight w:val="none"/>
        </w:rPr>
        <w:instrText xml:space="preserve"> PAGEREF _Toc19507 \h </w:instrText>
      </w:r>
      <w:r>
        <w:rPr>
          <w:sz w:val="36"/>
          <w:szCs w:val="36"/>
          <w:highlight w:val="none"/>
        </w:rPr>
        <w:fldChar w:fldCharType="separate"/>
      </w:r>
      <w:r>
        <w:rPr>
          <w:sz w:val="36"/>
          <w:szCs w:val="36"/>
          <w:highlight w:val="none"/>
        </w:rPr>
        <w:t>5</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146FC190">
      <w:pPr>
        <w:pStyle w:val="8"/>
        <w:keepNext w:val="0"/>
        <w:keepLines w:val="0"/>
        <w:pageBreakBefore w:val="0"/>
        <w:widowControl w:val="0"/>
        <w:tabs>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_Toc120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val="en-US" w:eastAsia="zh-CN"/>
        </w:rPr>
        <w:t>第三章 评标办法（综合评分法）</w:t>
      </w:r>
      <w:r>
        <w:rPr>
          <w:sz w:val="36"/>
          <w:szCs w:val="36"/>
          <w:highlight w:val="none"/>
        </w:rPr>
        <w:tab/>
      </w:r>
      <w:r>
        <w:rPr>
          <w:sz w:val="36"/>
          <w:szCs w:val="36"/>
          <w:highlight w:val="none"/>
        </w:rPr>
        <w:fldChar w:fldCharType="begin"/>
      </w:r>
      <w:r>
        <w:rPr>
          <w:sz w:val="36"/>
          <w:szCs w:val="36"/>
          <w:highlight w:val="none"/>
        </w:rPr>
        <w:instrText xml:space="preserve"> PAGEREF _Toc120 \h </w:instrText>
      </w:r>
      <w:r>
        <w:rPr>
          <w:sz w:val="36"/>
          <w:szCs w:val="36"/>
          <w:highlight w:val="none"/>
        </w:rPr>
        <w:fldChar w:fldCharType="separate"/>
      </w:r>
      <w:r>
        <w:rPr>
          <w:sz w:val="36"/>
          <w:szCs w:val="36"/>
          <w:highlight w:val="none"/>
        </w:rPr>
        <w:t>23</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0E11A31E">
      <w:pPr>
        <w:pStyle w:val="8"/>
        <w:keepNext w:val="0"/>
        <w:keepLines w:val="0"/>
        <w:pageBreakBefore w:val="0"/>
        <w:widowControl w:val="0"/>
        <w:tabs>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_Toc5802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rPr>
        <w:t>第四章 合同条款及格式</w:t>
      </w:r>
      <w:r>
        <w:rPr>
          <w:sz w:val="36"/>
          <w:szCs w:val="36"/>
          <w:highlight w:val="none"/>
        </w:rPr>
        <w:tab/>
      </w:r>
      <w:r>
        <w:rPr>
          <w:sz w:val="36"/>
          <w:szCs w:val="36"/>
          <w:highlight w:val="none"/>
        </w:rPr>
        <w:fldChar w:fldCharType="begin"/>
      </w:r>
      <w:r>
        <w:rPr>
          <w:sz w:val="36"/>
          <w:szCs w:val="36"/>
          <w:highlight w:val="none"/>
        </w:rPr>
        <w:instrText xml:space="preserve"> PAGEREF _Toc5802 \h </w:instrText>
      </w:r>
      <w:r>
        <w:rPr>
          <w:sz w:val="36"/>
          <w:szCs w:val="36"/>
          <w:highlight w:val="none"/>
        </w:rPr>
        <w:fldChar w:fldCharType="separate"/>
      </w:r>
      <w:r>
        <w:rPr>
          <w:sz w:val="36"/>
          <w:szCs w:val="36"/>
          <w:highlight w:val="none"/>
        </w:rPr>
        <w:t>32</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3A2DDFF5">
      <w:pPr>
        <w:pStyle w:val="8"/>
        <w:keepNext w:val="0"/>
        <w:keepLines w:val="0"/>
        <w:pageBreakBefore w:val="0"/>
        <w:widowControl w:val="0"/>
        <w:tabs>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_Toc1090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rPr>
        <w:t>第五章 采购内容及要求</w:t>
      </w:r>
      <w:r>
        <w:rPr>
          <w:sz w:val="36"/>
          <w:szCs w:val="36"/>
          <w:highlight w:val="none"/>
        </w:rPr>
        <w:tab/>
      </w:r>
      <w:r>
        <w:rPr>
          <w:sz w:val="36"/>
          <w:szCs w:val="36"/>
          <w:highlight w:val="none"/>
        </w:rPr>
        <w:fldChar w:fldCharType="begin"/>
      </w:r>
      <w:r>
        <w:rPr>
          <w:sz w:val="36"/>
          <w:szCs w:val="36"/>
          <w:highlight w:val="none"/>
        </w:rPr>
        <w:instrText xml:space="preserve"> PAGEREF _Toc1090 \h </w:instrText>
      </w:r>
      <w:r>
        <w:rPr>
          <w:sz w:val="36"/>
          <w:szCs w:val="36"/>
          <w:highlight w:val="none"/>
        </w:rPr>
        <w:fldChar w:fldCharType="separate"/>
      </w:r>
      <w:r>
        <w:rPr>
          <w:sz w:val="36"/>
          <w:szCs w:val="36"/>
          <w:highlight w:val="none"/>
        </w:rPr>
        <w:t>33</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2AF3606D">
      <w:pPr>
        <w:pStyle w:val="8"/>
        <w:keepNext w:val="0"/>
        <w:keepLines w:val="0"/>
        <w:pageBreakBefore w:val="0"/>
        <w:widowControl w:val="0"/>
        <w:tabs>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_Toc3935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rPr>
        <w:t>第六章 响应文件格式</w:t>
      </w:r>
      <w:r>
        <w:rPr>
          <w:sz w:val="36"/>
          <w:szCs w:val="36"/>
          <w:highlight w:val="none"/>
        </w:rPr>
        <w:tab/>
      </w:r>
      <w:r>
        <w:rPr>
          <w:sz w:val="36"/>
          <w:szCs w:val="36"/>
          <w:highlight w:val="none"/>
        </w:rPr>
        <w:fldChar w:fldCharType="begin"/>
      </w:r>
      <w:r>
        <w:rPr>
          <w:sz w:val="36"/>
          <w:szCs w:val="36"/>
          <w:highlight w:val="none"/>
        </w:rPr>
        <w:instrText xml:space="preserve"> PAGEREF _Toc3935 \h </w:instrText>
      </w:r>
      <w:r>
        <w:rPr>
          <w:sz w:val="36"/>
          <w:szCs w:val="36"/>
          <w:highlight w:val="none"/>
        </w:rPr>
        <w:fldChar w:fldCharType="separate"/>
      </w:r>
      <w:r>
        <w:rPr>
          <w:sz w:val="36"/>
          <w:szCs w:val="36"/>
          <w:highlight w:val="none"/>
        </w:rPr>
        <w:t>35</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251CC61C">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32"/>
          <w:szCs w:val="32"/>
          <w:highlight w:val="none"/>
        </w:rPr>
        <w:fldChar w:fldCharType="end"/>
      </w:r>
    </w:p>
    <w:p w14:paraId="0FE65495">
      <w:pPr>
        <w:ind w:firstLine="0" w:firstLineChars="0"/>
        <w:rPr>
          <w:rFonts w:hint="eastAsia" w:ascii="宋体" w:hAnsi="宋体" w:eastAsia="宋体" w:cs="宋体"/>
          <w:color w:val="auto"/>
          <w:kern w:val="2"/>
          <w:sz w:val="24"/>
          <w:szCs w:val="24"/>
          <w:highlight w:val="none"/>
          <w:lang w:val="en-US" w:eastAsia="zh-CN" w:bidi="ar-SA"/>
        </w:rPr>
      </w:pPr>
    </w:p>
    <w:p w14:paraId="00EA6FEE">
      <w:pPr>
        <w:pStyle w:val="6"/>
        <w:tabs>
          <w:tab w:val="right" w:leader="dot" w:pos="8721"/>
        </w:tabs>
        <w:spacing w:line="300" w:lineRule="auto"/>
        <w:ind w:left="0" w:leftChars="0" w:firstLine="0" w:firstLineChars="0"/>
        <w:jc w:val="center"/>
        <w:outlineLvl w:val="9"/>
        <w:rPr>
          <w:rFonts w:hint="eastAsia"/>
          <w:highlight w:val="none"/>
        </w:rPr>
      </w:pPr>
      <w:r>
        <w:rPr>
          <w:rFonts w:hint="eastAsia" w:ascii="宋体" w:hAnsi="宋体" w:eastAsia="宋体" w:cs="宋体"/>
          <w:b/>
          <w:bCs/>
          <w:color w:val="auto"/>
          <w:sz w:val="32"/>
          <w:szCs w:val="32"/>
          <w:highlight w:val="none"/>
        </w:rPr>
        <w:br w:type="page"/>
      </w:r>
      <w:bookmarkEnd w:id="0"/>
      <w:bookmarkEnd w:id="1"/>
      <w:bookmarkEnd w:id="2"/>
      <w:bookmarkStart w:id="3" w:name="_Toc407182660"/>
      <w:bookmarkStart w:id="4" w:name="_Toc407169868"/>
    </w:p>
    <w:p w14:paraId="4C4E4988">
      <w:pPr>
        <w:pStyle w:val="2"/>
        <w:keepNext/>
        <w:keepLines/>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eastAsia"/>
          <w:highlight w:val="none"/>
          <w:lang w:eastAsia="zh-CN"/>
        </w:rPr>
      </w:pPr>
      <w:bookmarkStart w:id="5" w:name="_Toc25505"/>
      <w:r>
        <w:rPr>
          <w:rFonts w:hint="eastAsia" w:ascii="宋体" w:hAnsi="宋体" w:eastAsia="宋体" w:cs="宋体"/>
          <w:b/>
          <w:bCs/>
          <w:color w:val="auto"/>
          <w:kern w:val="0"/>
          <w:sz w:val="31"/>
          <w:szCs w:val="31"/>
          <w:highlight w:val="none"/>
          <w:lang w:val="en-US" w:eastAsia="zh-CN"/>
        </w:rPr>
        <w:fldChar w:fldCharType="begin"/>
      </w:r>
      <w:r>
        <w:rPr>
          <w:rFonts w:hint="eastAsia" w:ascii="宋体" w:hAnsi="宋体" w:eastAsia="宋体" w:cs="宋体"/>
          <w:b/>
          <w:bCs/>
          <w:color w:val="auto"/>
          <w:kern w:val="0"/>
          <w:sz w:val="31"/>
          <w:szCs w:val="31"/>
          <w:highlight w:val="none"/>
          <w:lang w:val="en-US" w:eastAsia="zh-CN"/>
        </w:rPr>
        <w:instrText xml:space="preserve"> HYPERLINK \l "_Toc11211" </w:instrText>
      </w:r>
      <w:r>
        <w:rPr>
          <w:rFonts w:hint="eastAsia" w:ascii="宋体" w:hAnsi="宋体" w:eastAsia="宋体" w:cs="宋体"/>
          <w:b/>
          <w:bCs/>
          <w:color w:val="auto"/>
          <w:kern w:val="0"/>
          <w:sz w:val="31"/>
          <w:szCs w:val="31"/>
          <w:highlight w:val="none"/>
          <w:lang w:val="en-US" w:eastAsia="zh-CN"/>
        </w:rPr>
        <w:fldChar w:fldCharType="separate"/>
      </w:r>
      <w:r>
        <w:rPr>
          <w:rFonts w:hint="eastAsia" w:ascii="宋体" w:hAnsi="宋体" w:eastAsia="宋体" w:cs="宋体"/>
          <w:b/>
          <w:bCs/>
          <w:color w:val="auto"/>
          <w:kern w:val="0"/>
          <w:sz w:val="31"/>
          <w:szCs w:val="31"/>
          <w:highlight w:val="none"/>
          <w:lang w:val="en-US" w:eastAsia="zh-CN"/>
        </w:rPr>
        <w:t>第一章 谈判采购公告</w:t>
      </w:r>
      <w:r>
        <w:rPr>
          <w:rFonts w:hint="eastAsia" w:ascii="宋体" w:hAnsi="宋体" w:eastAsia="宋体" w:cs="宋体"/>
          <w:b/>
          <w:bCs/>
          <w:color w:val="auto"/>
          <w:kern w:val="0"/>
          <w:sz w:val="31"/>
          <w:szCs w:val="31"/>
          <w:highlight w:val="none"/>
          <w:lang w:val="en-US" w:eastAsia="zh-CN"/>
        </w:rPr>
        <w:fldChar w:fldCharType="end"/>
      </w:r>
      <w:bookmarkEnd w:id="5"/>
    </w:p>
    <w:p w14:paraId="30821161">
      <w:pPr>
        <w:pageBreakBefore w:val="0"/>
        <w:kinsoku/>
        <w:wordWrap/>
        <w:overflowPunct/>
        <w:topLinePunct w:val="0"/>
        <w:autoSpaceDE/>
        <w:autoSpaceDN/>
        <w:bidi w:val="0"/>
        <w:spacing w:line="500" w:lineRule="exact"/>
        <w:ind w:left="0" w:firstLine="480" w:firstLineChars="200"/>
        <w:jc w:val="both"/>
        <w:textAlignment w:val="auto"/>
        <w:rPr>
          <w:rFonts w:hint="eastAsia" w:ascii="宋体" w:hAnsi="宋体" w:eastAsia="宋体" w:cs="宋体"/>
          <w:color w:val="000000"/>
          <w:highlight w:val="none"/>
        </w:rPr>
      </w:pPr>
    </w:p>
    <w:p w14:paraId="0699B025">
      <w:pPr>
        <w:pageBreakBefore w:val="0"/>
        <w:kinsoku/>
        <w:wordWrap/>
        <w:overflowPunct/>
        <w:topLinePunct w:val="0"/>
        <w:autoSpaceDE/>
        <w:autoSpaceDN/>
        <w:bidi w:val="0"/>
        <w:spacing w:line="500" w:lineRule="exact"/>
        <w:ind w:left="0" w:firstLine="480" w:firstLineChars="200"/>
        <w:jc w:val="both"/>
        <w:textAlignment w:val="auto"/>
        <w:rPr>
          <w:rFonts w:hint="eastAsia" w:ascii="宋体" w:hAnsi="宋体" w:eastAsia="宋体" w:cs="宋体"/>
          <w:b/>
          <w:bCs/>
          <w:color w:val="auto"/>
          <w:kern w:val="0"/>
          <w:sz w:val="32"/>
          <w:szCs w:val="32"/>
          <w:highlight w:val="none"/>
        </w:rPr>
      </w:pPr>
      <w:bookmarkStart w:id="65" w:name="_GoBack"/>
      <w:r>
        <w:rPr>
          <w:rFonts w:hint="eastAsia" w:ascii="宋体" w:hAnsi="宋体" w:eastAsia="宋体" w:cs="宋体"/>
          <w:color w:val="000000"/>
          <w:highlight w:val="none"/>
        </w:rPr>
        <w:t>我单位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eastAsia="zh-CN"/>
        </w:rPr>
        <w:t>遵义交科工程检测有限公司</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受</w:t>
      </w:r>
      <w:r>
        <w:rPr>
          <w:rFonts w:hint="eastAsia" w:ascii="宋体" w:hAnsi="宋体" w:eastAsia="宋体" w:cs="宋体"/>
          <w:color w:val="000000"/>
          <w:highlight w:val="none"/>
          <w:u w:val="single"/>
        </w:rPr>
        <w:t xml:space="preserve"> </w:t>
      </w:r>
      <w:r>
        <w:rPr>
          <w:rFonts w:hint="eastAsia" w:ascii="宋体" w:hAnsi="宋体" w:eastAsia="宋体" w:cs="宋体"/>
          <w:b/>
          <w:bCs/>
          <w:color w:val="auto"/>
          <w:highlight w:val="none"/>
          <w:u w:val="single"/>
          <w:shd w:val="clear" w:color="auto" w:fill="FFFFFF"/>
          <w:lang w:eastAsia="zh-CN"/>
        </w:rPr>
        <w:t>遵义路桥播城工程建设有限公司</w:t>
      </w:r>
      <w:r>
        <w:rPr>
          <w:rFonts w:hint="eastAsia" w:ascii="宋体" w:hAnsi="宋体" w:eastAsia="宋体" w:cs="宋体"/>
          <w:color w:val="000000"/>
          <w:highlight w:val="none"/>
        </w:rPr>
        <w:t>（采购人） 委托，就</w:t>
      </w:r>
      <w:r>
        <w:rPr>
          <w:rFonts w:hint="eastAsia" w:ascii="宋体" w:hAnsi="宋体" w:eastAsia="宋体" w:cs="宋体"/>
          <w:color w:val="000000"/>
          <w:highlight w:val="none"/>
          <w:u w:val="single"/>
          <w:lang w:val="en-US" w:eastAsia="zh-CN"/>
        </w:rPr>
        <w:t xml:space="preserve"> </w:t>
      </w:r>
      <w:r>
        <w:rPr>
          <w:rFonts w:hint="eastAsia" w:ascii="宋体" w:hAnsi="宋体" w:eastAsia="宋体" w:cs="宋体"/>
          <w:b/>
          <w:bCs/>
          <w:color w:val="auto"/>
          <w:highlight w:val="none"/>
          <w:u w:val="single"/>
          <w:shd w:val="clear" w:color="auto" w:fill="FFFFFF"/>
          <w:lang w:eastAsia="zh-CN"/>
        </w:rPr>
        <w:t>播州区排水管网改建(二期)项目新增土寨工程材料(纳米合金管)采购</w:t>
      </w:r>
      <w:r>
        <w:rPr>
          <w:rFonts w:hint="eastAsia" w:ascii="宋体" w:hAnsi="宋体" w:eastAsia="宋体" w:cs="宋体"/>
          <w:b/>
          <w:bCs/>
          <w:color w:val="auto"/>
          <w:highlight w:val="none"/>
          <w:u w:val="single"/>
          <w:shd w:val="clear" w:color="auto" w:fill="FFFFFF"/>
          <w:lang w:val="en-US" w:eastAsia="zh-CN"/>
        </w:rPr>
        <w:t xml:space="preserve"> </w:t>
      </w:r>
      <w:r>
        <w:rPr>
          <w:rFonts w:hint="eastAsia" w:ascii="宋体" w:hAnsi="宋体" w:eastAsia="宋体" w:cs="宋体"/>
          <w:color w:val="000000"/>
          <w:highlight w:val="none"/>
        </w:rPr>
        <w:t>项目进行</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谈判</w:t>
      </w:r>
      <w:r>
        <w:rPr>
          <w:rFonts w:hint="eastAsia" w:ascii="宋体" w:hAnsi="宋体" w:eastAsia="宋体" w:cs="宋体"/>
          <w:color w:val="000000"/>
          <w:highlight w:val="none"/>
          <w:u w:val="single"/>
        </w:rPr>
        <w:t>采购</w:t>
      </w:r>
      <w:r>
        <w:rPr>
          <w:rFonts w:hint="eastAsia" w:ascii="宋体" w:hAnsi="宋体" w:eastAsia="宋体" w:cs="宋体"/>
          <w:color w:val="000000"/>
          <w:highlight w:val="none"/>
          <w:u w:val="single"/>
          <w:lang w:eastAsia="zh-CN"/>
        </w:rPr>
        <w:t>（</w:t>
      </w:r>
      <w:r>
        <w:rPr>
          <w:rFonts w:hint="eastAsia" w:ascii="宋体" w:hAnsi="宋体" w:eastAsia="宋体" w:cs="宋体"/>
          <w:color w:val="000000"/>
          <w:highlight w:val="none"/>
          <w:u w:val="single"/>
          <w:lang w:val="en-US" w:eastAsia="zh-CN"/>
        </w:rPr>
        <w:t>综合评分法</w:t>
      </w:r>
      <w:r>
        <w:rPr>
          <w:rFonts w:hint="eastAsia" w:ascii="宋体" w:hAnsi="宋体" w:eastAsia="宋体" w:cs="宋体"/>
          <w:color w:val="000000"/>
          <w:highlight w:val="none"/>
          <w:u w:val="single"/>
          <w:lang w:eastAsia="zh-CN"/>
        </w:rPr>
        <w:t>），</w:t>
      </w:r>
      <w:r>
        <w:rPr>
          <w:rFonts w:hint="eastAsia" w:ascii="宋体" w:hAnsi="宋体" w:eastAsia="宋体" w:cs="宋体"/>
          <w:color w:val="000000"/>
          <w:highlight w:val="none"/>
          <w:u w:val="single"/>
          <w:lang w:val="en-US" w:eastAsia="zh-CN"/>
        </w:rPr>
        <w:t>选择一家供应商，本项目采用资格后审</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，特公开邀请符合条件的单位前来参与。</w:t>
      </w:r>
    </w:p>
    <w:p w14:paraId="6BC60627">
      <w:pPr>
        <w:pageBreakBefore w:val="0"/>
        <w:widowControl/>
        <w:kinsoku/>
        <w:wordWrap/>
        <w:overflowPunct/>
        <w:topLinePunct w:val="0"/>
        <w:autoSpaceDE/>
        <w:autoSpaceDN/>
        <w:bidi w:val="0"/>
        <w:adjustRightInd w:val="0"/>
        <w:snapToGrid w:val="0"/>
        <w:spacing w:line="500" w:lineRule="exact"/>
        <w:ind w:left="0" w:firstLine="482"/>
        <w:jc w:val="both"/>
        <w:textAlignment w:val="auto"/>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一、项目基本概况</w:t>
      </w:r>
    </w:p>
    <w:p w14:paraId="630FADE8">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1、项目编号：</w:t>
      </w:r>
      <w:r>
        <w:rPr>
          <w:rFonts w:hint="eastAsia" w:ascii="宋体" w:hAnsi="宋体" w:eastAsia="宋体" w:cs="宋体"/>
          <w:color w:val="auto"/>
          <w:highlight w:val="none"/>
          <w:u w:val="single"/>
          <w:lang w:val="en-US" w:eastAsia="zh-CN"/>
        </w:rPr>
        <w:t>LQ-2026-164</w:t>
      </w:r>
    </w:p>
    <w:p w14:paraId="581631C3">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2、项目名称：</w:t>
      </w:r>
      <w:r>
        <w:rPr>
          <w:rFonts w:hint="eastAsia" w:ascii="宋体" w:hAnsi="宋体" w:eastAsia="宋体" w:cs="宋体"/>
          <w:b/>
          <w:bCs/>
          <w:color w:val="auto"/>
          <w:highlight w:val="none"/>
          <w:u w:val="none"/>
          <w:shd w:val="clear" w:color="auto" w:fill="FFFFFF"/>
          <w:lang w:eastAsia="zh-CN"/>
        </w:rPr>
        <w:t>播州区排水管网改建(二期)项目新增土寨工程材料(纳米合金管)采购。</w:t>
      </w:r>
    </w:p>
    <w:p w14:paraId="29DC2446">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3、项目概况：</w:t>
      </w:r>
      <w:r>
        <w:rPr>
          <w:rFonts w:hint="eastAsia" w:ascii="宋体" w:hAnsi="宋体" w:eastAsia="宋体" w:cs="宋体"/>
          <w:b/>
          <w:bCs/>
          <w:color w:val="auto"/>
          <w:highlight w:val="none"/>
          <w:u w:val="single"/>
          <w:shd w:val="clear" w:color="auto" w:fill="FFFFFF"/>
          <w:lang w:eastAsia="zh-CN"/>
        </w:rPr>
        <w:t>播州区排水管网改建(二期)项目新增土寨工程材料(纳米合金管)采购</w:t>
      </w:r>
      <w:r>
        <w:rPr>
          <w:rFonts w:hint="eastAsia" w:ascii="宋体" w:hAnsi="宋体" w:eastAsia="宋体" w:cs="宋体"/>
          <w:color w:val="auto"/>
          <w:highlight w:val="none"/>
          <w:u w:val="single"/>
          <w:lang w:val="en-US" w:eastAsia="zh-CN"/>
        </w:rPr>
        <w:t>。</w:t>
      </w:r>
    </w:p>
    <w:p w14:paraId="385EDDB3">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4、采购方式：公开谈判采购（综合评分）。</w:t>
      </w:r>
    </w:p>
    <w:p w14:paraId="71064CAA">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5、工期：以采购人下达的实际通知时间为准。</w:t>
      </w:r>
    </w:p>
    <w:p w14:paraId="1028BCCC">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color w:val="auto"/>
          <w:highlight w:val="yellow"/>
          <w:lang w:val="en-US" w:eastAsia="zh-CN"/>
        </w:rPr>
      </w:pPr>
      <w:r>
        <w:rPr>
          <w:rFonts w:hint="eastAsia" w:ascii="宋体" w:hAnsi="宋体" w:eastAsia="宋体" w:cs="宋体"/>
          <w:color w:val="auto"/>
          <w:highlight w:val="none"/>
          <w:lang w:val="en-US" w:eastAsia="zh-CN"/>
        </w:rPr>
        <w:t>6、（服务）质量要求：</w:t>
      </w:r>
      <w:r>
        <w:rPr>
          <w:rFonts w:hint="eastAsia" w:ascii="宋体" w:hAnsi="宋体" w:eastAsia="宋体" w:cs="宋体"/>
          <w:color w:val="auto"/>
          <w:highlight w:val="yellow"/>
          <w:lang w:val="en-US" w:eastAsia="zh-CN"/>
        </w:rPr>
        <w:t>满足设计要求，符合国家材料质量检测标准。。</w:t>
      </w:r>
    </w:p>
    <w:p w14:paraId="3C5C79B9">
      <w:pPr>
        <w:pageBreakBefore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w:t>
      </w:r>
      <w:r>
        <w:rPr>
          <w:rFonts w:hint="eastAsia" w:ascii="宋体" w:hAnsi="宋体" w:eastAsia="宋体" w:cs="宋体"/>
          <w:b/>
          <w:bCs/>
          <w:color w:val="auto"/>
          <w:highlight w:val="none"/>
          <w:lang w:val="en-US" w:eastAsia="zh-CN"/>
        </w:rPr>
        <w:t>不接受联合体</w:t>
      </w:r>
      <w:r>
        <w:rPr>
          <w:rFonts w:hint="eastAsia" w:ascii="宋体" w:hAnsi="宋体" w:eastAsia="宋体" w:cs="宋体"/>
          <w:color w:val="auto"/>
          <w:highlight w:val="none"/>
          <w:lang w:val="en-US" w:eastAsia="zh-CN"/>
        </w:rPr>
        <w:t>。</w:t>
      </w:r>
    </w:p>
    <w:p w14:paraId="4E11F8B2">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b w:val="0"/>
          <w:bCs/>
          <w:color w:val="auto"/>
          <w:highlight w:val="none"/>
          <w:shd w:val="clear" w:color="auto" w:fill="FFFFFF"/>
          <w:lang w:val="en-US" w:eastAsia="zh-CN"/>
        </w:rPr>
      </w:pPr>
      <w:r>
        <w:rPr>
          <w:rFonts w:hint="eastAsia" w:ascii="宋体" w:hAnsi="宋体" w:eastAsia="宋体" w:cs="宋体"/>
          <w:b w:val="0"/>
          <w:bCs/>
          <w:color w:val="auto"/>
          <w:highlight w:val="none"/>
          <w:lang w:val="en-US" w:eastAsia="zh-CN"/>
        </w:rPr>
        <w:t>8、采购预算：</w:t>
      </w:r>
      <w:r>
        <w:rPr>
          <w:rFonts w:hint="eastAsia" w:ascii="宋体" w:hAnsi="宋体" w:eastAsia="宋体" w:cs="宋体"/>
          <w:b/>
          <w:bCs w:val="0"/>
          <w:color w:val="auto"/>
          <w:highlight w:val="none"/>
          <w:lang w:val="en-US" w:eastAsia="zh-CN"/>
        </w:rPr>
        <w:t>585000.00元（不含税）</w:t>
      </w:r>
      <w:r>
        <w:rPr>
          <w:rFonts w:hint="eastAsia" w:ascii="宋体" w:hAnsi="宋体" w:eastAsia="宋体" w:cs="宋体"/>
          <w:b w:val="0"/>
          <w:bCs/>
          <w:color w:val="auto"/>
          <w:highlight w:val="none"/>
          <w:lang w:val="en-US" w:eastAsia="zh-CN"/>
        </w:rPr>
        <w:t>，</w:t>
      </w:r>
      <w:r>
        <w:rPr>
          <w:rFonts w:hint="eastAsia" w:ascii="宋体" w:hAnsi="宋体" w:eastAsia="宋体" w:cs="宋体"/>
          <w:b w:val="0"/>
          <w:bCs/>
          <w:color w:val="auto"/>
          <w:highlight w:val="none"/>
          <w:shd w:val="clear" w:color="auto" w:fill="FFFFFF"/>
          <w:lang w:val="en-US" w:eastAsia="zh-CN"/>
        </w:rPr>
        <w:t>详见第五章采购清单。</w:t>
      </w:r>
    </w:p>
    <w:p w14:paraId="495362BB">
      <w:pPr>
        <w:pageBreakBefore w:val="0"/>
        <w:kinsoku/>
        <w:wordWrap/>
        <w:overflowPunct/>
        <w:topLinePunct w:val="0"/>
        <w:autoSpaceDE/>
        <w:autoSpaceDN/>
        <w:bidi w:val="0"/>
        <w:spacing w:line="500" w:lineRule="exact"/>
        <w:ind w:left="0"/>
        <w:jc w:val="both"/>
        <w:textAlignment w:val="auto"/>
        <w:rPr>
          <w:rFonts w:hint="default"/>
          <w:lang w:val="en-US" w:eastAsia="zh-CN"/>
        </w:rPr>
      </w:pPr>
      <w:r>
        <w:rPr>
          <w:rFonts w:hint="eastAsia" w:ascii="宋体" w:hAnsi="宋体" w:eastAsia="宋体" w:cs="宋体"/>
          <w:b w:val="0"/>
          <w:bCs/>
          <w:color w:val="auto"/>
          <w:highlight w:val="none"/>
          <w:shd w:val="clear" w:color="auto" w:fill="FFFFFF"/>
          <w:lang w:val="en-US" w:eastAsia="zh-CN"/>
        </w:rPr>
        <w:t>9、项目地点：采购人指定地点。</w:t>
      </w:r>
    </w:p>
    <w:p w14:paraId="05F020D5">
      <w:pPr>
        <w:pageBreakBefore w:val="0"/>
        <w:widowControl/>
        <w:kinsoku/>
        <w:wordWrap/>
        <w:overflowPunct/>
        <w:topLinePunct w:val="0"/>
        <w:autoSpaceDE/>
        <w:autoSpaceDN/>
        <w:bidi w:val="0"/>
        <w:adjustRightInd w:val="0"/>
        <w:snapToGrid w:val="0"/>
        <w:spacing w:line="500" w:lineRule="exact"/>
        <w:ind w:left="0" w:firstLine="482"/>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二、资格要求</w:t>
      </w:r>
    </w:p>
    <w:p w14:paraId="750555E7">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1、具备独立承担民事责任的能力：供应商应为中华人民共和国境内具有独立法人资格，持有合法有效的企业法人营业执照或事业单位法人证书（提供营业执照或法人扫描件）；</w:t>
      </w:r>
    </w:p>
    <w:p w14:paraId="5D3309AE">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2、具有履行合同所必需的设备和专业技术能力：需附投标供应商履约能力承诺书，格式内容详见响应文件格式；</w:t>
      </w:r>
    </w:p>
    <w:p w14:paraId="66593876">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3、法律、行政法规规定的其他条件：</w:t>
      </w:r>
      <w:r>
        <w:rPr>
          <w:rFonts w:hint="eastAsia" w:ascii="宋体" w:hAnsi="宋体" w:eastAsia="宋体" w:cs="宋体"/>
          <w:color w:val="000000"/>
          <w:highlight w:val="none"/>
          <w:lang w:eastAsia="zh-CN"/>
        </w:rPr>
        <w:t>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查询时间为本公告发布之日起至响应文件递交截止之日止）</w:t>
      </w:r>
      <w:r>
        <w:rPr>
          <w:rFonts w:hint="eastAsia" w:ascii="宋体" w:hAnsi="宋体" w:eastAsia="宋体" w:cs="宋体"/>
          <w:color w:val="000000"/>
          <w:highlight w:val="none"/>
        </w:rPr>
        <w:t>；</w:t>
      </w:r>
    </w:p>
    <w:p w14:paraId="07183773">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4、依法缴纳税收和社会保障资金的相关材料：提供2026年任意一个月的纳税证明和社保缴纳证明，或承诺书，加盖供应商单位公章；</w:t>
      </w:r>
    </w:p>
    <w:p w14:paraId="297C26EF">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5、具有良好的商业信誉和健全的财务会计制度：提供2024年度或2025年度经第三方审计的财务报告或基本开户银行出具和社的资信证明，或承诺书，加盖供应商单位公章）；</w:t>
      </w:r>
    </w:p>
    <w:p w14:paraId="248B0535">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6、参加本次招标活动前三年内，在经营活动中没有违法违规记录：提供参加招标活动前3年内在经营活动中没有重大违法记录的书面声明；</w:t>
      </w:r>
    </w:p>
    <w:p w14:paraId="3B6C59F3">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default" w:ascii="宋体" w:hAnsi="宋体" w:eastAsia="宋体" w:cs="宋体"/>
          <w:color w:val="000000"/>
          <w:highlight w:val="yellow"/>
          <w:shd w:val="clear" w:color="auto" w:fill="FFFFFF"/>
          <w:lang w:val="en-US" w:eastAsia="zh-CN"/>
        </w:rPr>
      </w:pPr>
      <w:r>
        <w:rPr>
          <w:rFonts w:hint="eastAsia" w:ascii="宋体" w:hAnsi="宋体" w:eastAsia="宋体" w:cs="宋体"/>
          <w:color w:val="000000"/>
          <w:highlight w:val="yellow"/>
        </w:rPr>
        <w:t>7、特殊资格要求：</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w:t>
      </w:r>
    </w:p>
    <w:p w14:paraId="57BC5183">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三、获取</w:t>
      </w:r>
      <w:r>
        <w:rPr>
          <w:rFonts w:hint="eastAsia" w:ascii="宋体" w:hAnsi="宋体" w:eastAsia="宋体" w:cs="宋体"/>
          <w:b/>
          <w:bCs/>
          <w:color w:val="auto"/>
          <w:highlight w:val="none"/>
          <w:shd w:val="clear" w:color="auto" w:fill="FFFFFF"/>
          <w:lang w:eastAsia="zh-CN"/>
        </w:rPr>
        <w:t>谈判采购</w:t>
      </w:r>
      <w:r>
        <w:rPr>
          <w:rFonts w:hint="eastAsia" w:ascii="宋体" w:hAnsi="宋体" w:eastAsia="宋体" w:cs="宋体"/>
          <w:b/>
          <w:bCs/>
          <w:color w:val="auto"/>
          <w:highlight w:val="none"/>
          <w:shd w:val="clear" w:color="auto" w:fill="FFFFFF"/>
        </w:rPr>
        <w:t>文件的时间、地点、方式</w:t>
      </w:r>
    </w:p>
    <w:p w14:paraId="33FA6D1C">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3.1.时间：</w:t>
      </w:r>
      <w:r>
        <w:rPr>
          <w:rFonts w:hint="eastAsia" w:ascii="宋体" w:hAnsi="宋体" w:eastAsia="宋体" w:cs="宋体"/>
          <w:color w:val="0000FF"/>
          <w:highlight w:val="yellow"/>
          <w:shd w:val="clear" w:color="auto" w:fill="FFFFFF"/>
        </w:rPr>
        <w:t>202</w:t>
      </w:r>
      <w:r>
        <w:rPr>
          <w:rFonts w:hint="eastAsia" w:ascii="宋体" w:hAnsi="宋体" w:eastAsia="宋体" w:cs="宋体"/>
          <w:color w:val="0000FF"/>
          <w:highlight w:val="yellow"/>
          <w:shd w:val="clear" w:color="auto" w:fill="FFFFFF"/>
          <w:lang w:val="en-US" w:eastAsia="zh-CN"/>
        </w:rPr>
        <w:t>6</w:t>
      </w:r>
      <w:r>
        <w:rPr>
          <w:rFonts w:hint="eastAsia" w:ascii="宋体" w:hAnsi="宋体" w:eastAsia="宋体" w:cs="宋体"/>
          <w:color w:val="0000FF"/>
          <w:highlight w:val="yellow"/>
          <w:shd w:val="clear" w:color="auto" w:fill="FFFFFF"/>
        </w:rPr>
        <w:t>年</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月</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日至202</w:t>
      </w:r>
      <w:r>
        <w:rPr>
          <w:rFonts w:hint="eastAsia" w:ascii="宋体" w:hAnsi="宋体" w:eastAsia="宋体" w:cs="宋体"/>
          <w:color w:val="0000FF"/>
          <w:highlight w:val="yellow"/>
          <w:shd w:val="clear" w:color="auto" w:fill="FFFFFF"/>
          <w:lang w:val="en-US" w:eastAsia="zh-CN"/>
        </w:rPr>
        <w:t>6</w:t>
      </w:r>
      <w:r>
        <w:rPr>
          <w:rFonts w:hint="eastAsia" w:ascii="宋体" w:hAnsi="宋体" w:eastAsia="宋体" w:cs="宋体"/>
          <w:color w:val="0000FF"/>
          <w:highlight w:val="yellow"/>
          <w:shd w:val="clear" w:color="auto" w:fill="FFFFFF"/>
        </w:rPr>
        <w:t>年</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月</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日</w:t>
      </w:r>
      <w:r>
        <w:rPr>
          <w:rFonts w:hint="eastAsia" w:ascii="宋体" w:hAnsi="宋体" w:eastAsia="宋体" w:cs="宋体"/>
          <w:color w:val="0000FF"/>
          <w:highlight w:val="none"/>
          <w:shd w:val="clear" w:color="auto" w:fill="FFFFFF"/>
        </w:rPr>
        <w:t>，每天上午09:00至12:00时，下午14:00至17:00时（北京时间，法定节假日除外），地点：遵义交科工程检测有限公司（遵义市新蒲新区兴遵西路8号）获取采购文件，文件售价0元。</w:t>
      </w:r>
    </w:p>
    <w:p w14:paraId="5C664077">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3.2.获取文件联系电话：</w:t>
      </w:r>
      <w:r>
        <w:rPr>
          <w:rFonts w:hint="eastAsia" w:ascii="宋体" w:hAnsi="宋体" w:eastAsia="宋体" w:cs="宋体"/>
          <w:color w:val="0000FF"/>
          <w:highlight w:val="none"/>
          <w:shd w:val="clear" w:color="auto" w:fill="FFFFFF"/>
          <w:lang w:eastAsia="zh-CN"/>
        </w:rPr>
        <w:t>14786196965</w:t>
      </w:r>
      <w:r>
        <w:rPr>
          <w:rFonts w:hint="eastAsia" w:ascii="宋体" w:hAnsi="宋体" w:eastAsia="宋体" w:cs="宋体"/>
          <w:color w:val="0000FF"/>
          <w:highlight w:val="none"/>
          <w:shd w:val="clear" w:color="auto" w:fill="FFFFFF"/>
        </w:rPr>
        <w:t>。</w:t>
      </w:r>
    </w:p>
    <w:p w14:paraId="425EA80D">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3.4、提交响应文件截止时间、开标时间和地点：</w:t>
      </w:r>
      <w:r>
        <w:rPr>
          <w:rFonts w:hint="eastAsia" w:ascii="宋体" w:hAnsi="宋体" w:eastAsia="宋体" w:cs="宋体"/>
          <w:color w:val="0000FF"/>
          <w:highlight w:val="yellow"/>
          <w:shd w:val="clear" w:color="auto" w:fill="FFFFFF"/>
        </w:rPr>
        <w:t>202</w:t>
      </w:r>
      <w:r>
        <w:rPr>
          <w:rFonts w:hint="eastAsia" w:ascii="宋体" w:hAnsi="宋体" w:eastAsia="宋体" w:cs="宋体"/>
          <w:color w:val="0000FF"/>
          <w:highlight w:val="yellow"/>
          <w:shd w:val="clear" w:color="auto" w:fill="FFFFFF"/>
          <w:lang w:val="en-US" w:eastAsia="zh-CN"/>
        </w:rPr>
        <w:t>6</w:t>
      </w:r>
      <w:r>
        <w:rPr>
          <w:rFonts w:hint="eastAsia" w:ascii="宋体" w:hAnsi="宋体" w:eastAsia="宋体" w:cs="宋体"/>
          <w:color w:val="0000FF"/>
          <w:highlight w:val="yellow"/>
          <w:shd w:val="clear" w:color="auto" w:fill="FFFFFF"/>
        </w:rPr>
        <w:t>年</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月</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日</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时</w:t>
      </w:r>
      <w:r>
        <w:rPr>
          <w:rFonts w:hint="eastAsia" w:ascii="宋体" w:hAnsi="宋体" w:eastAsia="宋体" w:cs="宋体"/>
          <w:color w:val="0000FF"/>
          <w:highlight w:val="yellow"/>
          <w:shd w:val="clear" w:color="auto" w:fill="FFFFFF"/>
          <w:lang w:val="en-US" w:eastAsia="zh-CN"/>
        </w:rPr>
        <w:t xml:space="preserve"> 00 </w:t>
      </w:r>
      <w:r>
        <w:rPr>
          <w:rFonts w:hint="eastAsia" w:ascii="宋体" w:hAnsi="宋体" w:eastAsia="宋体" w:cs="宋体"/>
          <w:color w:val="0000FF"/>
          <w:highlight w:val="yellow"/>
          <w:shd w:val="clear" w:color="auto" w:fill="FFFFFF"/>
        </w:rPr>
        <w:t>分</w:t>
      </w:r>
      <w:r>
        <w:rPr>
          <w:rFonts w:hint="eastAsia" w:ascii="宋体" w:hAnsi="宋体" w:eastAsia="宋体" w:cs="宋体"/>
          <w:color w:val="0000FF"/>
          <w:highlight w:val="none"/>
          <w:shd w:val="clear" w:color="auto" w:fill="FFFFFF"/>
        </w:rPr>
        <w:t>（北京时间）。</w:t>
      </w:r>
    </w:p>
    <w:p w14:paraId="42D503AF">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递交地点：遵义交科工程检测有限公司（遵义市新蒲新区兴遵西路8号）。</w:t>
      </w:r>
    </w:p>
    <w:p w14:paraId="636FF750">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w:t>
      </w:r>
      <w:r>
        <w:rPr>
          <w:rFonts w:hint="eastAsia" w:ascii="宋体" w:hAnsi="宋体" w:eastAsia="宋体" w:cs="宋体"/>
          <w:color w:val="0000FF"/>
          <w:highlight w:val="none"/>
          <w:shd w:val="clear" w:color="auto" w:fill="FFFFFF"/>
          <w:lang w:val="en-US" w:eastAsia="zh-CN"/>
        </w:rPr>
        <w:t>5</w:t>
      </w:r>
      <w:r>
        <w:rPr>
          <w:rFonts w:hint="eastAsia" w:ascii="宋体" w:hAnsi="宋体" w:eastAsia="宋体" w:cs="宋体"/>
          <w:color w:val="0000FF"/>
          <w:highlight w:val="none"/>
          <w:shd w:val="clear" w:color="auto" w:fill="FFFFFF"/>
        </w:rPr>
        <w:t>、公告发布网址：</w:t>
      </w:r>
      <w:r>
        <w:rPr>
          <w:rFonts w:hint="eastAsia" w:ascii="宋体" w:hAnsi="宋体" w:eastAsia="宋体" w:cs="宋体"/>
          <w:color w:val="0000FF"/>
          <w:highlight w:val="none"/>
          <w:shd w:val="clear" w:color="auto" w:fill="FFFFFF"/>
          <w:lang w:eastAsia="zh-CN"/>
        </w:rPr>
        <w:t>贵州遵义路桥建设集团有限公司官网</w:t>
      </w:r>
      <w:r>
        <w:rPr>
          <w:rFonts w:hint="eastAsia" w:ascii="宋体" w:hAnsi="宋体" w:eastAsia="宋体" w:cs="宋体"/>
          <w:color w:val="0000FF"/>
          <w:highlight w:val="none"/>
          <w:shd w:val="clear" w:color="auto" w:fill="FFFFFF"/>
        </w:rPr>
        <w:t>和贵州省招标投标公共服务平台同步公示。</w:t>
      </w:r>
    </w:p>
    <w:p w14:paraId="61AFC330">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、获取采购文件时需提交：</w:t>
      </w:r>
    </w:p>
    <w:p w14:paraId="017D382D">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（1）有效的营业执照、资质证书（正本或副本）加盖供应商公章的复印件；</w:t>
      </w:r>
    </w:p>
    <w:p w14:paraId="5A198253">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2）法定代表人获取采购文件的，提供法定代表人身份证明原件、身份证原件（或电子身份证）及复印件（加盖供应商单位公章），授权委托人获取磋商文件的，提供法定代表人授权委托书原件、委托代理人身份证原件（或电子身份证）及复印件（加盖供应商单位公章）。</w:t>
      </w:r>
    </w:p>
    <w:p w14:paraId="266E0D2D">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四、发布公告的媒介</w:t>
      </w:r>
    </w:p>
    <w:p w14:paraId="141C9E67">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本项目信息在</w:t>
      </w:r>
      <w:r>
        <w:rPr>
          <w:rFonts w:hint="eastAsia" w:ascii="宋体" w:hAnsi="宋体" w:eastAsia="宋体" w:cs="宋体"/>
          <w:color w:val="0000FF"/>
          <w:highlight w:val="none"/>
          <w:shd w:val="clear" w:color="auto" w:fill="FFFFFF"/>
          <w:lang w:eastAsia="zh-CN"/>
        </w:rPr>
        <w:t>贵州遵义路桥建设集团有限公司官网</w:t>
      </w:r>
      <w:r>
        <w:rPr>
          <w:rFonts w:hint="eastAsia" w:ascii="宋体" w:hAnsi="宋体" w:eastAsia="宋体" w:cs="宋体"/>
          <w:color w:val="0000FF"/>
          <w:highlight w:val="none"/>
          <w:shd w:val="clear" w:color="auto" w:fill="FFFFFF"/>
        </w:rPr>
        <w:t>和贵州省招标投标公共服务平台同步公示。</w:t>
      </w:r>
    </w:p>
    <w:p w14:paraId="2948F812">
      <w:pPr>
        <w:pageBreakBefore w:val="0"/>
        <w:widowControl/>
        <w:numPr>
          <w:ilvl w:val="0"/>
          <w:numId w:val="0"/>
        </w:numPr>
        <w:kinsoku/>
        <w:wordWrap/>
        <w:overflowPunct/>
        <w:topLinePunct w:val="0"/>
        <w:autoSpaceDE/>
        <w:autoSpaceDN/>
        <w:bidi w:val="0"/>
        <w:adjustRightInd w:val="0"/>
        <w:snapToGrid w:val="0"/>
        <w:spacing w:line="500" w:lineRule="exact"/>
        <w:ind w:left="0" w:leftChars="0" w:firstLine="482" w:firstLineChars="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kern w:val="2"/>
          <w:sz w:val="24"/>
          <w:szCs w:val="24"/>
          <w:highlight w:val="none"/>
          <w:shd w:val="clear" w:color="auto" w:fill="FFFFFF"/>
          <w:lang w:val="en-US" w:eastAsia="zh-CN" w:bidi="ar-SA"/>
        </w:rPr>
        <w:t>五、</w:t>
      </w:r>
      <w:r>
        <w:rPr>
          <w:rFonts w:hint="eastAsia" w:ascii="宋体" w:hAnsi="宋体" w:eastAsia="宋体" w:cs="宋体"/>
          <w:b/>
          <w:bCs/>
          <w:color w:val="auto"/>
          <w:highlight w:val="none"/>
          <w:shd w:val="clear" w:color="auto" w:fill="FFFFFF"/>
        </w:rPr>
        <w:t>凡对本次采购提出询问，请按以下方式联系</w:t>
      </w:r>
    </w:p>
    <w:p w14:paraId="23FDE6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p>
    <w:p w14:paraId="1B9700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1.采购人信息</w:t>
      </w:r>
    </w:p>
    <w:p w14:paraId="547DA7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highlight w:val="none"/>
          <w:shd w:val="clear" w:color="auto" w:fill="FFFFFF"/>
          <w:lang w:eastAsia="zh-CN"/>
        </w:rPr>
      </w:pPr>
      <w:r>
        <w:rPr>
          <w:rFonts w:hint="eastAsia" w:ascii="宋体" w:hAnsi="宋体" w:eastAsia="宋体" w:cs="宋体"/>
          <w:b w:val="0"/>
          <w:bCs w:val="0"/>
          <w:sz w:val="24"/>
          <w:szCs w:val="24"/>
          <w:highlight w:val="none"/>
          <w:lang w:val="en-US" w:eastAsia="zh-CN"/>
        </w:rPr>
        <w:t>名    称：</w:t>
      </w:r>
      <w:r>
        <w:rPr>
          <w:rFonts w:hint="eastAsia" w:ascii="宋体" w:hAnsi="宋体" w:eastAsia="宋体" w:cs="宋体"/>
          <w:bCs/>
          <w:color w:val="auto"/>
          <w:highlight w:val="none"/>
          <w:shd w:val="clear" w:color="auto" w:fill="FFFFFF"/>
          <w:lang w:eastAsia="zh-CN"/>
        </w:rPr>
        <w:t>遵义路桥播城工程建设有限公司</w:t>
      </w:r>
    </w:p>
    <w:p w14:paraId="731D79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w:t>
      </w:r>
      <w:r>
        <w:rPr>
          <w:rFonts w:hint="eastAsia" w:ascii="宋体" w:hAnsi="宋体" w:eastAsia="宋体" w:cs="宋体"/>
          <w:color w:val="auto"/>
          <w:highlight w:val="none"/>
          <w:shd w:val="clear" w:color="auto" w:fill="FFFFFF"/>
          <w:lang w:val="en-US" w:eastAsia="zh-CN"/>
        </w:rPr>
        <w:t>贵州省遵义市播州区影山湖街道火车站社区长征路南白客运站七楼</w:t>
      </w:r>
    </w:p>
    <w:p w14:paraId="59C0F8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w:t>
      </w:r>
      <w:r>
        <w:rPr>
          <w:rFonts w:hint="eastAsia" w:ascii="宋体" w:hAnsi="宋体" w:eastAsia="宋体" w:cs="宋体"/>
          <w:color w:val="auto"/>
          <w:highlight w:val="none"/>
          <w:shd w:val="clear" w:color="auto" w:fill="FFFFFF"/>
          <w:lang w:val="en-US" w:eastAsia="zh-CN"/>
        </w:rPr>
        <w:t>陈朝维</w:t>
      </w:r>
    </w:p>
    <w:p w14:paraId="5E942BAF">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联系方式：</w:t>
      </w:r>
      <w:r>
        <w:rPr>
          <w:rFonts w:hint="eastAsia" w:ascii="宋体" w:hAnsi="宋体" w:eastAsia="宋体" w:cs="宋体"/>
          <w:color w:val="auto"/>
          <w:highlight w:val="none"/>
          <w:shd w:val="clear" w:color="auto" w:fill="FFFFFF"/>
          <w:lang w:val="en-US" w:eastAsia="zh-CN"/>
        </w:rPr>
        <w:t>13116345789</w:t>
      </w:r>
    </w:p>
    <w:p w14:paraId="680486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cs="宋体"/>
          <w:b w:val="0"/>
          <w:bCs w:val="0"/>
          <w:color w:val="auto"/>
          <w:sz w:val="24"/>
          <w:szCs w:val="24"/>
          <w:highlight w:val="none"/>
          <w:lang w:val="en-US" w:eastAsia="zh-CN"/>
        </w:rPr>
      </w:pPr>
    </w:p>
    <w:p w14:paraId="06C42D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2.采购代理机构信息</w:t>
      </w:r>
    </w:p>
    <w:p w14:paraId="4C5521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    称：遵义交科工程检测有限公司</w:t>
      </w:r>
    </w:p>
    <w:p w14:paraId="7917F6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　　址：遵义市新蒲新区兴遵西路8号</w:t>
      </w:r>
    </w:p>
    <w:p w14:paraId="3646B0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 系 人：曾先生、鲍忠宇、马礼艳</w:t>
      </w:r>
    </w:p>
    <w:p w14:paraId="7E9BCB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联系方式：14786196965、15285003298、15329429519</w:t>
      </w:r>
    </w:p>
    <w:bookmarkEnd w:id="65"/>
    <w:p w14:paraId="3448768D">
      <w:pPr>
        <w:pStyle w:val="2"/>
        <w:keepNext/>
        <w:keepLines/>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eastAsia" w:ascii="宋体" w:hAnsi="宋体" w:eastAsia="宋体" w:cs="宋体"/>
          <w:b/>
          <w:bCs/>
          <w:color w:val="auto"/>
          <w:kern w:val="0"/>
          <w:sz w:val="31"/>
          <w:szCs w:val="31"/>
          <w:highlight w:val="none"/>
          <w:lang w:val="en-US" w:eastAsia="zh-CN"/>
        </w:rPr>
      </w:pPr>
      <w:bookmarkStart w:id="6" w:name="_Toc15903"/>
      <w:r>
        <w:rPr>
          <w:rFonts w:hint="eastAsia" w:ascii="宋体" w:hAnsi="宋体" w:eastAsia="宋体" w:cs="宋体"/>
          <w:b/>
          <w:bCs/>
          <w:color w:val="auto"/>
          <w:highlight w:val="none"/>
        </w:rPr>
        <w:br w:type="page"/>
      </w:r>
      <w:bookmarkEnd w:id="3"/>
      <w:bookmarkEnd w:id="4"/>
      <w:bookmarkEnd w:id="6"/>
      <w:bookmarkStart w:id="7" w:name="_Toc8555"/>
      <w:bookmarkStart w:id="8" w:name="_Toc19507"/>
      <w:bookmarkStart w:id="9" w:name="_Toc407169869"/>
      <w:bookmarkStart w:id="10" w:name="_Toc407182661"/>
      <w:bookmarkStart w:id="11" w:name="_Toc3666"/>
      <w:r>
        <w:rPr>
          <w:rFonts w:hint="eastAsia" w:ascii="宋体" w:hAnsi="宋体" w:eastAsia="宋体" w:cs="宋体"/>
          <w:b/>
          <w:bCs/>
          <w:color w:val="auto"/>
          <w:kern w:val="0"/>
          <w:sz w:val="31"/>
          <w:szCs w:val="31"/>
          <w:highlight w:val="none"/>
          <w:lang w:val="en-US" w:eastAsia="zh-CN"/>
        </w:rPr>
        <w:t>第二章 供应商须知</w:t>
      </w:r>
      <w:bookmarkEnd w:id="7"/>
      <w:bookmarkEnd w:id="8"/>
    </w:p>
    <w:p w14:paraId="43948AD3">
      <w:pPr>
        <w:pStyle w:val="16"/>
        <w:snapToGrid w:val="0"/>
        <w:spacing w:line="360" w:lineRule="auto"/>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供应商须知前附表</w:t>
      </w:r>
    </w:p>
    <w:tbl>
      <w:tblPr>
        <w:tblStyle w:val="12"/>
        <w:tblW w:w="9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1483"/>
        <w:gridCol w:w="7052"/>
      </w:tblGrid>
      <w:tr w14:paraId="7496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0" w:type="dxa"/>
            <w:vAlign w:val="center"/>
          </w:tcPr>
          <w:p w14:paraId="08933A06">
            <w:pPr>
              <w:keepNext w:val="0"/>
              <w:keepLines w:val="0"/>
              <w:pageBreakBefore w:val="0"/>
              <w:kinsoku/>
              <w:wordWrap/>
              <w:overflowPunct/>
              <w:topLinePunct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position w:val="-3"/>
                <w:highlight w:val="none"/>
              </w:rPr>
              <w:t>条款号</w:t>
            </w:r>
          </w:p>
        </w:tc>
        <w:tc>
          <w:tcPr>
            <w:tcW w:w="1483" w:type="dxa"/>
            <w:vAlign w:val="center"/>
          </w:tcPr>
          <w:p w14:paraId="367272A3">
            <w:pPr>
              <w:keepNext w:val="0"/>
              <w:keepLines w:val="0"/>
              <w:pageBreakBefore w:val="0"/>
              <w:tabs>
                <w:tab w:val="left" w:pos="600"/>
                <w:tab w:val="left" w:pos="1080"/>
                <w:tab w:val="left" w:pos="1560"/>
              </w:tabs>
              <w:kinsoku/>
              <w:wordWrap/>
              <w:overflowPunct/>
              <w:topLinePunct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position w:val="-3"/>
                <w:highlight w:val="none"/>
              </w:rPr>
              <w:t>条款名称</w:t>
            </w:r>
          </w:p>
        </w:tc>
        <w:tc>
          <w:tcPr>
            <w:tcW w:w="7052" w:type="dxa"/>
            <w:vAlign w:val="center"/>
          </w:tcPr>
          <w:p w14:paraId="2FAC8E52">
            <w:pPr>
              <w:keepNext w:val="0"/>
              <w:keepLines w:val="0"/>
              <w:pageBreakBefore w:val="0"/>
              <w:widowControl w:val="0"/>
              <w:tabs>
                <w:tab w:val="left" w:pos="520"/>
                <w:tab w:val="left" w:pos="1000"/>
                <w:tab w:val="left" w:pos="1480"/>
              </w:tabs>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14:paraId="0B4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3936AF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1483" w:type="dxa"/>
            <w:vAlign w:val="center"/>
          </w:tcPr>
          <w:p w14:paraId="5310CDE5">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7052" w:type="dxa"/>
            <w:vAlign w:val="center"/>
          </w:tcPr>
          <w:p w14:paraId="385487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eastAsia="宋体" w:cs="宋体"/>
                <w:color w:val="auto"/>
                <w:highlight w:val="none"/>
                <w:lang w:eastAsia="zh-CN"/>
              </w:rPr>
              <w:t>遵义路桥播城工程建设有限公司</w:t>
            </w:r>
          </w:p>
          <w:p w14:paraId="280AAA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联系地址：</w:t>
            </w:r>
            <w:r>
              <w:rPr>
                <w:rFonts w:hint="eastAsia" w:ascii="宋体" w:hAnsi="宋体" w:eastAsia="宋体" w:cs="宋体"/>
                <w:color w:val="auto"/>
                <w:highlight w:val="none"/>
                <w:lang w:val="en-US" w:eastAsia="zh-CN"/>
              </w:rPr>
              <w:t>贵州省遵义市播州区影山湖街道火车站社区长征路南白客运站七楼</w:t>
            </w:r>
          </w:p>
          <w:p w14:paraId="1787EC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w:t>
            </w:r>
            <w:r>
              <w:rPr>
                <w:rFonts w:hint="eastAsia" w:ascii="宋体" w:hAnsi="宋体" w:eastAsia="宋体" w:cs="宋体"/>
                <w:color w:val="auto"/>
                <w:highlight w:val="none"/>
                <w:shd w:val="clear" w:color="auto" w:fill="FFFFFF"/>
                <w:lang w:val="en-US" w:eastAsia="zh-CN"/>
              </w:rPr>
              <w:t>陈朝维</w:t>
            </w:r>
          </w:p>
          <w:p w14:paraId="595AF6D2">
            <w:pPr>
              <w:keepNext w:val="0"/>
              <w:keepLines w:val="0"/>
              <w:pageBreakBefore w:val="0"/>
              <w:widowControl/>
              <w:kinsoku/>
              <w:wordWrap/>
              <w:overflowPunct/>
              <w:topLinePunct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b w:val="0"/>
                <w:bCs w:val="0"/>
                <w:color w:val="auto"/>
                <w:sz w:val="24"/>
                <w:szCs w:val="24"/>
                <w:highlight w:val="none"/>
                <w:lang w:val="en-US" w:eastAsia="zh-CN"/>
              </w:rPr>
              <w:t>联系方式：</w:t>
            </w:r>
            <w:r>
              <w:rPr>
                <w:rFonts w:hint="eastAsia" w:ascii="宋体" w:hAnsi="宋体" w:eastAsia="宋体" w:cs="宋体"/>
                <w:color w:val="auto"/>
                <w:highlight w:val="none"/>
                <w:shd w:val="clear" w:color="auto" w:fill="FFFFFF"/>
                <w:lang w:val="en-US" w:eastAsia="zh-CN"/>
              </w:rPr>
              <w:t>13116345789</w:t>
            </w:r>
          </w:p>
        </w:tc>
      </w:tr>
      <w:tr w14:paraId="6F9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287CD8B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1483" w:type="dxa"/>
            <w:vAlign w:val="center"/>
          </w:tcPr>
          <w:p w14:paraId="037709A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7052" w:type="dxa"/>
            <w:vAlign w:val="center"/>
          </w:tcPr>
          <w:p w14:paraId="22680FD9">
            <w:pPr>
              <w:pStyle w:val="17"/>
              <w:keepNext w:val="0"/>
              <w:keepLines w:val="0"/>
              <w:pageBreakBefore w:val="0"/>
              <w:kinsoku/>
              <w:wordWrap/>
              <w:overflowPunct/>
              <w:topLinePunct w:val="0"/>
              <w:autoSpaceDE/>
              <w:autoSpaceDN/>
              <w:bidi w:val="0"/>
              <w:spacing w:before="36" w:line="500" w:lineRule="exact"/>
              <w:ind w:left="0" w:leftChars="0" w:right="0" w:rightChars="0" w:firstLine="480" w:firstLineChars="200"/>
              <w:jc w:val="both"/>
              <w:textAlignment w:val="auto"/>
              <w:outlineLvl w:val="9"/>
              <w:rPr>
                <w:rFonts w:hint="eastAsia" w:ascii="宋体" w:hAnsi="宋体" w:eastAsia="宋体" w:cs="宋体"/>
                <w:b w:val="0"/>
                <w:bCs w:val="0"/>
                <w:spacing w:val="0"/>
                <w:sz w:val="24"/>
                <w:highlight w:val="none"/>
                <w:lang w:val="en-US" w:eastAsia="zh-CN"/>
              </w:rPr>
            </w:pPr>
            <w:r>
              <w:rPr>
                <w:rFonts w:hint="eastAsia" w:ascii="宋体" w:hAnsi="宋体" w:eastAsia="宋体" w:cs="宋体"/>
                <w:b w:val="0"/>
                <w:bCs w:val="0"/>
                <w:spacing w:val="0"/>
                <w:sz w:val="24"/>
                <w:highlight w:val="none"/>
                <w:lang w:val="en-US" w:eastAsia="zh-CN"/>
              </w:rPr>
              <w:t>采购代理机构全称：遵义交科工程检测有限公司</w:t>
            </w:r>
          </w:p>
          <w:p w14:paraId="2CDD5D49">
            <w:pPr>
              <w:pStyle w:val="17"/>
              <w:keepNext w:val="0"/>
              <w:keepLines w:val="0"/>
              <w:pageBreakBefore w:val="0"/>
              <w:kinsoku/>
              <w:wordWrap/>
              <w:overflowPunct/>
              <w:topLinePunct w:val="0"/>
              <w:autoSpaceDE/>
              <w:autoSpaceDN/>
              <w:bidi w:val="0"/>
              <w:spacing w:before="36" w:line="500" w:lineRule="exact"/>
              <w:ind w:left="0" w:leftChars="0" w:right="0" w:rightChars="0" w:firstLine="480" w:firstLineChars="200"/>
              <w:jc w:val="both"/>
              <w:textAlignment w:val="auto"/>
              <w:outlineLvl w:val="9"/>
              <w:rPr>
                <w:rFonts w:hint="eastAsia" w:ascii="宋体" w:hAnsi="宋体" w:eastAsia="宋体" w:cs="宋体"/>
                <w:b w:val="0"/>
                <w:bCs w:val="0"/>
                <w:spacing w:val="0"/>
                <w:sz w:val="24"/>
                <w:highlight w:val="none"/>
                <w:lang w:val="en-US" w:eastAsia="zh-CN"/>
              </w:rPr>
            </w:pPr>
            <w:r>
              <w:rPr>
                <w:rFonts w:hint="eastAsia" w:ascii="宋体" w:hAnsi="宋体" w:eastAsia="宋体" w:cs="宋体"/>
                <w:b w:val="0"/>
                <w:bCs w:val="0"/>
                <w:spacing w:val="0"/>
                <w:sz w:val="24"/>
                <w:highlight w:val="none"/>
                <w:lang w:val="en-US" w:eastAsia="zh-CN"/>
              </w:rPr>
              <w:t>联系地址：遵义市新蒲新区兴遵西路8号</w:t>
            </w:r>
          </w:p>
          <w:p w14:paraId="03807281">
            <w:pPr>
              <w:pStyle w:val="17"/>
              <w:keepNext w:val="0"/>
              <w:keepLines w:val="0"/>
              <w:pageBreakBefore w:val="0"/>
              <w:kinsoku/>
              <w:wordWrap/>
              <w:overflowPunct/>
              <w:topLinePunct w:val="0"/>
              <w:autoSpaceDE/>
              <w:autoSpaceDN/>
              <w:bidi w:val="0"/>
              <w:spacing w:before="36" w:line="500" w:lineRule="exact"/>
              <w:ind w:left="0" w:leftChars="0" w:right="0" w:rightChars="0" w:firstLine="480" w:firstLineChars="200"/>
              <w:jc w:val="both"/>
              <w:textAlignment w:val="auto"/>
              <w:outlineLvl w:val="9"/>
              <w:rPr>
                <w:rFonts w:hint="eastAsia" w:ascii="宋体" w:hAnsi="宋体" w:eastAsia="宋体" w:cs="宋体"/>
                <w:b w:val="0"/>
                <w:bCs w:val="0"/>
                <w:spacing w:val="0"/>
                <w:sz w:val="24"/>
                <w:highlight w:val="none"/>
                <w:lang w:val="en-US" w:eastAsia="zh-CN"/>
              </w:rPr>
            </w:pPr>
            <w:r>
              <w:rPr>
                <w:rFonts w:hint="eastAsia" w:ascii="宋体" w:hAnsi="宋体" w:eastAsia="宋体" w:cs="宋体"/>
                <w:b w:val="0"/>
                <w:bCs w:val="0"/>
                <w:spacing w:val="0"/>
                <w:sz w:val="24"/>
                <w:highlight w:val="none"/>
                <w:lang w:val="en-US" w:eastAsia="zh-CN"/>
              </w:rPr>
              <w:t>项目联系人：曾先生、鲍忠宇、马礼艳</w:t>
            </w:r>
          </w:p>
          <w:p w14:paraId="28C87E5D">
            <w:pPr>
              <w:pStyle w:val="17"/>
              <w:keepNext w:val="0"/>
              <w:keepLines w:val="0"/>
              <w:pageBreakBefore w:val="0"/>
              <w:kinsoku/>
              <w:wordWrap/>
              <w:overflowPunct/>
              <w:topLinePunct w:val="0"/>
              <w:autoSpaceDE/>
              <w:autoSpaceDN/>
              <w:bidi w:val="0"/>
              <w:spacing w:before="36" w:line="500" w:lineRule="exact"/>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b w:val="0"/>
                <w:bCs w:val="0"/>
                <w:spacing w:val="0"/>
                <w:sz w:val="24"/>
                <w:highlight w:val="none"/>
                <w:lang w:val="en-US" w:eastAsia="zh-CN"/>
              </w:rPr>
              <w:t>联系电话：14786196965、15285003298、15329429519</w:t>
            </w:r>
          </w:p>
        </w:tc>
      </w:tr>
      <w:tr w14:paraId="5EB2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DF2D67B">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1483" w:type="dxa"/>
            <w:vAlign w:val="center"/>
          </w:tcPr>
          <w:p w14:paraId="078141A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052" w:type="dxa"/>
            <w:vAlign w:val="center"/>
          </w:tcPr>
          <w:p w14:paraId="45BE1FD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b w:val="0"/>
                <w:bCs w:val="0"/>
                <w:color w:val="auto"/>
                <w:highlight w:val="none"/>
                <w:u w:val="none"/>
                <w:shd w:val="clear" w:color="auto" w:fill="FFFFFF"/>
                <w:lang w:eastAsia="zh-CN"/>
              </w:rPr>
              <w:t>播州区排水管网改建(二期)项目新增土寨工程材料(纳米合金管)采购</w:t>
            </w:r>
          </w:p>
        </w:tc>
      </w:tr>
      <w:tr w14:paraId="7B5F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970" w:type="dxa"/>
            <w:vAlign w:val="center"/>
          </w:tcPr>
          <w:p w14:paraId="2DB4676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1483" w:type="dxa"/>
            <w:vAlign w:val="center"/>
          </w:tcPr>
          <w:p w14:paraId="47E3BC4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服务地点</w:t>
            </w:r>
          </w:p>
        </w:tc>
        <w:tc>
          <w:tcPr>
            <w:tcW w:w="7052" w:type="dxa"/>
            <w:vAlign w:val="center"/>
          </w:tcPr>
          <w:p w14:paraId="05ABAB6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采购人指定地点</w:t>
            </w:r>
          </w:p>
        </w:tc>
      </w:tr>
      <w:tr w14:paraId="75BE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6E8AD9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483" w:type="dxa"/>
            <w:vAlign w:val="center"/>
          </w:tcPr>
          <w:p w14:paraId="29FBE5D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采购预算</w:t>
            </w:r>
          </w:p>
        </w:tc>
        <w:tc>
          <w:tcPr>
            <w:tcW w:w="7052" w:type="dxa"/>
            <w:vAlign w:val="center"/>
          </w:tcPr>
          <w:p w14:paraId="3EA6274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2" w:firstLineChars="200"/>
              <w:jc w:val="both"/>
              <w:textAlignment w:val="auto"/>
              <w:rPr>
                <w:rFonts w:hint="eastAsia" w:ascii="宋体" w:hAnsi="宋体" w:eastAsia="宋体" w:cs="宋体"/>
                <w:color w:val="auto"/>
                <w:highlight w:val="none"/>
              </w:rPr>
            </w:pPr>
            <w:r>
              <w:rPr>
                <w:rFonts w:hint="eastAsia" w:ascii="宋体" w:hAnsi="宋体" w:eastAsia="宋体" w:cs="宋体"/>
                <w:b/>
                <w:bCs w:val="0"/>
                <w:color w:val="auto"/>
                <w:highlight w:val="none"/>
                <w:lang w:val="en-US" w:eastAsia="zh-CN"/>
              </w:rPr>
              <w:t>585000.00元（不含税）</w:t>
            </w:r>
          </w:p>
        </w:tc>
      </w:tr>
      <w:tr w14:paraId="69A8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05D7221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483" w:type="dxa"/>
            <w:vAlign w:val="center"/>
          </w:tcPr>
          <w:p w14:paraId="26DC2C5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7052" w:type="dxa"/>
            <w:vAlign w:val="center"/>
          </w:tcPr>
          <w:p w14:paraId="12743EA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企业自筹</w:t>
            </w:r>
          </w:p>
        </w:tc>
      </w:tr>
      <w:tr w14:paraId="6108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970" w:type="dxa"/>
            <w:vAlign w:val="center"/>
          </w:tcPr>
          <w:p w14:paraId="127173EB">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p>
        </w:tc>
        <w:tc>
          <w:tcPr>
            <w:tcW w:w="1483" w:type="dxa"/>
            <w:vAlign w:val="center"/>
          </w:tcPr>
          <w:p w14:paraId="2E5953C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7052" w:type="dxa"/>
            <w:vAlign w:val="center"/>
          </w:tcPr>
          <w:p w14:paraId="622C0A6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已落实</w:t>
            </w:r>
          </w:p>
        </w:tc>
      </w:tr>
      <w:tr w14:paraId="6C99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A77C29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483" w:type="dxa"/>
            <w:vAlign w:val="center"/>
          </w:tcPr>
          <w:p w14:paraId="64134467">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7052" w:type="dxa"/>
            <w:vAlign w:val="center"/>
          </w:tcPr>
          <w:p w14:paraId="1BF074A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b w:val="0"/>
                <w:bCs w:val="0"/>
                <w:color w:val="auto"/>
                <w:highlight w:val="none"/>
                <w:u w:val="none"/>
                <w:shd w:val="clear" w:color="auto" w:fill="FFFFFF"/>
                <w:lang w:eastAsia="zh-CN"/>
              </w:rPr>
              <w:t>播州区排水管网改建(二期)项目新增土寨工程材料(纳米合金管)采购</w:t>
            </w:r>
            <w:r>
              <w:rPr>
                <w:rFonts w:hint="eastAsia" w:ascii="宋体" w:hAnsi="宋体" w:eastAsia="宋体" w:cs="宋体"/>
                <w:bCs/>
                <w:color w:val="auto"/>
                <w:highlight w:val="none"/>
                <w:shd w:val="clear" w:color="auto" w:fill="FFFFFF"/>
                <w:lang w:val="en-US" w:eastAsia="zh-CN"/>
              </w:rPr>
              <w:t>（具体详见采购文件第五章）</w:t>
            </w:r>
          </w:p>
        </w:tc>
      </w:tr>
      <w:tr w14:paraId="2F6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970" w:type="dxa"/>
            <w:vAlign w:val="center"/>
          </w:tcPr>
          <w:p w14:paraId="705E3DC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1483" w:type="dxa"/>
            <w:vAlign w:val="center"/>
          </w:tcPr>
          <w:p w14:paraId="2D62C453">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工期</w:t>
            </w:r>
          </w:p>
        </w:tc>
        <w:tc>
          <w:tcPr>
            <w:tcW w:w="7052" w:type="dxa"/>
            <w:vAlign w:val="center"/>
          </w:tcPr>
          <w:p w14:paraId="1F5E5760">
            <w:pPr>
              <w:keepNext w:val="0"/>
              <w:keepLines w:val="0"/>
              <w:pageBreakBefore w:val="0"/>
              <w:widowControl w:val="0"/>
              <w:kinsoku/>
              <w:wordWrap/>
              <w:overflowPunct/>
              <w:topLinePunct w:val="0"/>
              <w:bidi w:val="0"/>
              <w:spacing w:line="500" w:lineRule="exact"/>
              <w:ind w:left="0" w:leftChars="0" w:right="0" w:rightChars="0"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以采购人下达的实际通知时间为准。</w:t>
            </w:r>
          </w:p>
        </w:tc>
      </w:tr>
      <w:tr w14:paraId="160A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680008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483" w:type="dxa"/>
            <w:vAlign w:val="center"/>
          </w:tcPr>
          <w:p w14:paraId="75F06C6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要求</w:t>
            </w:r>
          </w:p>
        </w:tc>
        <w:tc>
          <w:tcPr>
            <w:tcW w:w="7052" w:type="dxa"/>
            <w:vAlign w:val="center"/>
          </w:tcPr>
          <w:p w14:paraId="7CA6214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满足设计要求，符合国家材料质量检测标准。</w:t>
            </w:r>
          </w:p>
        </w:tc>
      </w:tr>
      <w:tr w14:paraId="28E3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A143E0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483" w:type="dxa"/>
            <w:vAlign w:val="center"/>
          </w:tcPr>
          <w:p w14:paraId="1803A69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供应商资质条件</w:t>
            </w:r>
          </w:p>
        </w:tc>
        <w:tc>
          <w:tcPr>
            <w:tcW w:w="7052" w:type="dxa"/>
            <w:vAlign w:val="center"/>
          </w:tcPr>
          <w:p w14:paraId="11967D75">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（一）申请人的资格要求</w:t>
            </w:r>
          </w:p>
          <w:p w14:paraId="4C7BBFB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（1）具备独立承担民事责任的能力:供应商应为中华人民共和国境内具有独立法人资格，持有合法有效的企业法人营业执照或事业单位法人证书。</w:t>
            </w:r>
          </w:p>
          <w:p w14:paraId="6F14550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（2）具有履行合同所必需的设备和专业技术能力:需附投标供应商履约能力承诺书，(承诺书格式自拟)；</w:t>
            </w:r>
          </w:p>
          <w:p w14:paraId="1455575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法律、行政法规规定的其他条件：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查询时间为本公告发布之日起至响应文件递交截止之日止）；</w:t>
            </w:r>
          </w:p>
          <w:p w14:paraId="4170A32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（4）依法缴纳税收和社会保障资金的相关材料：提供2026年任意一个月的纳税证明和社保缴纳证明，或承诺书，加盖供应商单位公章。</w:t>
            </w:r>
          </w:p>
          <w:p w14:paraId="5B6FA20B">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（5）具有良好的商业信誉和健全的财务会计制度：提供2024年度或2025年度经第三方审计的财务报告或基本开户银行出具和社的资信证明，或承诺书，加盖供应商单位公章）；</w:t>
            </w:r>
          </w:p>
          <w:p w14:paraId="295F32C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（6）参加本次招标活动前三年内，在经营活动中没有违法违规记录：提供参加招标活动前3年内在经营活动中没有重大违法记录的书面声明；</w:t>
            </w:r>
          </w:p>
          <w:p w14:paraId="3C0E2C7A">
            <w:pPr>
              <w:keepNext w:val="0"/>
              <w:keepLines w:val="0"/>
              <w:pageBreakBefore w:val="0"/>
              <w:widowControl/>
              <w:suppressLineNumbers w:val="0"/>
              <w:kinsoku/>
              <w:wordWrap/>
              <w:overflowPunct/>
              <w:topLinePunct w:val="0"/>
              <w:autoSpaceDE/>
              <w:autoSpaceDN/>
              <w:bidi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（7）特殊资格要求 ：</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w:t>
            </w:r>
          </w:p>
          <w:p w14:paraId="7A79324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2" w:firstLineChars="200"/>
              <w:jc w:val="both"/>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注：以上所有材料需加盖公章。</w:t>
            </w:r>
          </w:p>
        </w:tc>
      </w:tr>
      <w:tr w14:paraId="48A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31A7AFF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483" w:type="dxa"/>
            <w:vAlign w:val="center"/>
          </w:tcPr>
          <w:p w14:paraId="01AB719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供应商其它要求</w:t>
            </w:r>
          </w:p>
        </w:tc>
        <w:tc>
          <w:tcPr>
            <w:tcW w:w="7052" w:type="dxa"/>
            <w:vAlign w:val="center"/>
          </w:tcPr>
          <w:p w14:paraId="545E9A8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1、近三年企业信誉良好，无重大质量、安全事故及市场违法违规不良行为记录；企业没有处于被责令停业、投标资格被取消、财产被接管、冻结、破产状态。</w:t>
            </w:r>
          </w:p>
        </w:tc>
      </w:tr>
      <w:tr w14:paraId="095D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7BB19D7">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1483" w:type="dxa"/>
            <w:vAlign w:val="center"/>
          </w:tcPr>
          <w:p w14:paraId="78F3C83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7052" w:type="dxa"/>
            <w:vAlign w:val="center"/>
          </w:tcPr>
          <w:p w14:paraId="4CC64F9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不接受</w:t>
            </w:r>
          </w:p>
          <w:p w14:paraId="5010E40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接受，应满足下列要求：</w:t>
            </w:r>
          </w:p>
        </w:tc>
      </w:tr>
      <w:tr w14:paraId="4197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EA022B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1483" w:type="dxa"/>
            <w:vAlign w:val="center"/>
          </w:tcPr>
          <w:p w14:paraId="4A9FD6A4">
            <w:pPr>
              <w:keepNext w:val="0"/>
              <w:keepLines w:val="0"/>
              <w:pageBreakBefore w:val="0"/>
              <w:widowControl/>
              <w:kinsoku/>
              <w:wordWrap/>
              <w:overflowPunct/>
              <w:topLinePunct w:val="0"/>
              <w:bidi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费用承担</w:t>
            </w:r>
          </w:p>
        </w:tc>
        <w:tc>
          <w:tcPr>
            <w:tcW w:w="7052" w:type="dxa"/>
            <w:vAlign w:val="center"/>
          </w:tcPr>
          <w:p w14:paraId="17FBFE3E">
            <w:pPr>
              <w:keepNext w:val="0"/>
              <w:keepLines w:val="0"/>
              <w:pageBreakBefore w:val="0"/>
              <w:widowControl/>
              <w:kinsoku/>
              <w:wordWrap/>
              <w:overflowPunct/>
              <w:topLinePunct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供应商准备和参加投标活动发生的费用自理。</w:t>
            </w:r>
          </w:p>
        </w:tc>
      </w:tr>
      <w:tr w14:paraId="7CAC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778CD12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483" w:type="dxa"/>
            <w:vAlign w:val="center"/>
          </w:tcPr>
          <w:p w14:paraId="5C70CD1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7052" w:type="dxa"/>
            <w:vAlign w:val="center"/>
          </w:tcPr>
          <w:p w14:paraId="3AF5F925">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p w14:paraId="5CE8212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□组织，踏勘时间：           踏勘集中地点：</w:t>
            </w:r>
          </w:p>
        </w:tc>
      </w:tr>
      <w:tr w14:paraId="07D3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527811F8">
            <w:pPr>
              <w:keepNext w:val="0"/>
              <w:keepLines w:val="0"/>
              <w:pageBreakBefore w:val="0"/>
              <w:kinsoku/>
              <w:wordWrap/>
              <w:overflowPunct/>
              <w:topLinePunct w:val="0"/>
              <w:bidi w:val="0"/>
              <w:adjustRightInd w:val="0"/>
              <w:snapToGrid w:val="0"/>
              <w:spacing w:before="43"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483" w:type="dxa"/>
            <w:vAlign w:val="center"/>
          </w:tcPr>
          <w:p w14:paraId="433EB6FC">
            <w:pPr>
              <w:keepNext w:val="0"/>
              <w:keepLines w:val="0"/>
              <w:pageBreakBefore w:val="0"/>
              <w:kinsoku/>
              <w:wordWrap/>
              <w:overflowPunct/>
              <w:topLinePunct w:val="0"/>
              <w:bidi w:val="0"/>
              <w:adjustRightInd w:val="0"/>
              <w:snapToGrid w:val="0"/>
              <w:spacing w:before="43"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7052" w:type="dxa"/>
            <w:vAlign w:val="center"/>
          </w:tcPr>
          <w:p w14:paraId="01C0D35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p w14:paraId="7E35295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□召开，召开时间及地点：</w:t>
            </w:r>
          </w:p>
        </w:tc>
      </w:tr>
      <w:tr w14:paraId="4A6F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4AAEE249">
            <w:pPr>
              <w:keepNext w:val="0"/>
              <w:keepLines w:val="0"/>
              <w:pageBreakBefore w:val="0"/>
              <w:kinsoku/>
              <w:wordWrap/>
              <w:overflowPunct/>
              <w:topLinePunct w:val="0"/>
              <w:bidi w:val="0"/>
              <w:adjustRightInd w:val="0"/>
              <w:snapToGrid w:val="0"/>
              <w:spacing w:before="74"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1483" w:type="dxa"/>
            <w:vAlign w:val="center"/>
          </w:tcPr>
          <w:p w14:paraId="25C6A16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供应商提出问题的截止时间</w:t>
            </w:r>
          </w:p>
        </w:tc>
        <w:tc>
          <w:tcPr>
            <w:tcW w:w="7052" w:type="dxa"/>
            <w:vAlign w:val="center"/>
          </w:tcPr>
          <w:p w14:paraId="459892E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w:t>
            </w:r>
          </w:p>
          <w:p w14:paraId="5BAD0E13">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形式：通过书面形式要求采购人对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文件予以澄清。</w:t>
            </w:r>
          </w:p>
        </w:tc>
      </w:tr>
      <w:tr w14:paraId="07B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52A8725">
            <w:pPr>
              <w:keepNext w:val="0"/>
              <w:keepLines w:val="0"/>
              <w:pageBreakBefore w:val="0"/>
              <w:kinsoku/>
              <w:wordWrap/>
              <w:overflowPunct/>
              <w:topLinePunct w:val="0"/>
              <w:bidi w:val="0"/>
              <w:adjustRightInd w:val="0"/>
              <w:snapToGrid w:val="0"/>
              <w:spacing w:before="74"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483" w:type="dxa"/>
            <w:vAlign w:val="center"/>
          </w:tcPr>
          <w:p w14:paraId="289B652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采购人书面澄清的时间</w:t>
            </w:r>
          </w:p>
        </w:tc>
        <w:tc>
          <w:tcPr>
            <w:tcW w:w="7052" w:type="dxa"/>
            <w:vAlign w:val="center"/>
          </w:tcPr>
          <w:p w14:paraId="5958C15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日通过“</w:t>
            </w:r>
            <w:r>
              <w:rPr>
                <w:rFonts w:hint="eastAsia" w:ascii="宋体" w:hAnsi="宋体" w:eastAsia="宋体" w:cs="宋体"/>
                <w:color w:val="0000FF"/>
                <w:highlight w:val="none"/>
                <w:lang w:eastAsia="zh-CN"/>
              </w:rPr>
              <w:t>本项目信息在贵州遵义路桥建设集团有限公司官网和贵州省招标投标公共服务平台同步公示</w:t>
            </w:r>
            <w:r>
              <w:rPr>
                <w:rFonts w:hint="eastAsia" w:ascii="宋体" w:hAnsi="宋体" w:eastAsia="宋体" w:cs="宋体"/>
                <w:color w:val="auto"/>
                <w:highlight w:val="none"/>
              </w:rPr>
              <w:t>”发出</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文件澄清。</w:t>
            </w:r>
          </w:p>
        </w:tc>
      </w:tr>
      <w:tr w14:paraId="1240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44E0AA6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483" w:type="dxa"/>
            <w:vAlign w:val="center"/>
          </w:tcPr>
          <w:p w14:paraId="2B18267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7052" w:type="dxa"/>
            <w:vAlign w:val="center"/>
          </w:tcPr>
          <w:p w14:paraId="45BFFC1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☑不允许</w:t>
            </w:r>
          </w:p>
          <w:p w14:paraId="76758DF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w:t>
            </w:r>
          </w:p>
        </w:tc>
      </w:tr>
      <w:tr w14:paraId="6FF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ABA545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483" w:type="dxa"/>
            <w:vAlign w:val="center"/>
          </w:tcPr>
          <w:p w14:paraId="35713FD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文件的其他材料</w:t>
            </w:r>
          </w:p>
        </w:tc>
        <w:tc>
          <w:tcPr>
            <w:tcW w:w="7052" w:type="dxa"/>
            <w:vAlign w:val="center"/>
          </w:tcPr>
          <w:p w14:paraId="5535242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文件的补充文件（如有）、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答疑纪要（如有）、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控制价（如有）</w:t>
            </w:r>
          </w:p>
        </w:tc>
      </w:tr>
      <w:tr w14:paraId="74D3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46B5248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483" w:type="dxa"/>
            <w:vAlign w:val="center"/>
          </w:tcPr>
          <w:p w14:paraId="0C03BD2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供应商要求澄清</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的截止时间</w:t>
            </w:r>
          </w:p>
        </w:tc>
        <w:tc>
          <w:tcPr>
            <w:tcW w:w="7052" w:type="dxa"/>
            <w:vAlign w:val="center"/>
          </w:tcPr>
          <w:p w14:paraId="5374825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截止时间前3日</w:t>
            </w:r>
          </w:p>
          <w:p w14:paraId="1AC6344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形式：通过书面形式要求采购人对</w:t>
            </w:r>
            <w:r>
              <w:rPr>
                <w:rFonts w:hint="eastAsia" w:ascii="宋体" w:hAnsi="宋体" w:eastAsia="宋体" w:cs="宋体"/>
                <w:color w:val="auto"/>
                <w:sz w:val="24"/>
                <w:highlight w:val="none"/>
                <w:lang w:eastAsia="zh-CN"/>
              </w:rPr>
              <w:t>谈判</w:t>
            </w:r>
            <w:r>
              <w:rPr>
                <w:rFonts w:hint="eastAsia" w:ascii="宋体" w:hAnsi="宋体" w:eastAsia="宋体" w:cs="宋体"/>
                <w:color w:val="auto"/>
                <w:sz w:val="24"/>
                <w:highlight w:val="none"/>
              </w:rPr>
              <w:t>文件予以澄清。</w:t>
            </w:r>
          </w:p>
        </w:tc>
      </w:tr>
      <w:tr w14:paraId="086F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E702815">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483" w:type="dxa"/>
            <w:vAlign w:val="center"/>
          </w:tcPr>
          <w:p w14:paraId="20F9E35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投标截止时间</w:t>
            </w:r>
          </w:p>
        </w:tc>
        <w:tc>
          <w:tcPr>
            <w:tcW w:w="7052" w:type="dxa"/>
            <w:vAlign w:val="center"/>
          </w:tcPr>
          <w:p w14:paraId="37D8CCD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0000FF"/>
                <w:highlight w:val="none"/>
                <w:shd w:val="clear" w:color="auto" w:fill="FFFFFF"/>
              </w:rPr>
              <w:t>202</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年</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月</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日</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时</w:t>
            </w:r>
            <w:r>
              <w:rPr>
                <w:rFonts w:hint="eastAsia" w:ascii="宋体" w:hAnsi="宋体" w:eastAsia="宋体" w:cs="宋体"/>
                <w:color w:val="0000FF"/>
                <w:highlight w:val="none"/>
                <w:shd w:val="clear" w:color="auto" w:fill="FFFFFF"/>
                <w:lang w:val="en-US" w:eastAsia="zh-CN"/>
              </w:rPr>
              <w:t xml:space="preserve"> 00 </w:t>
            </w:r>
            <w:r>
              <w:rPr>
                <w:rFonts w:hint="eastAsia" w:ascii="宋体" w:hAnsi="宋体" w:eastAsia="宋体" w:cs="宋体"/>
                <w:color w:val="0000FF"/>
                <w:highlight w:val="none"/>
                <w:shd w:val="clear" w:color="auto" w:fill="FFFFFF"/>
              </w:rPr>
              <w:t>分</w:t>
            </w:r>
            <w:r>
              <w:rPr>
                <w:rFonts w:hint="eastAsia" w:ascii="宋体" w:hAnsi="宋体" w:eastAsia="宋体" w:cs="宋体"/>
                <w:b/>
                <w:bCs/>
                <w:color w:val="auto"/>
                <w:highlight w:val="none"/>
              </w:rPr>
              <w:t>（以</w:t>
            </w:r>
            <w:r>
              <w:rPr>
                <w:rFonts w:hint="eastAsia" w:ascii="宋体" w:hAnsi="宋体" w:eastAsia="宋体" w:cs="宋体"/>
                <w:b/>
                <w:bCs/>
                <w:color w:val="auto"/>
                <w:highlight w:val="none"/>
                <w:lang w:val="en-US" w:eastAsia="zh-CN"/>
              </w:rPr>
              <w:t>公示平台</w:t>
            </w:r>
            <w:r>
              <w:rPr>
                <w:rFonts w:hint="eastAsia" w:ascii="宋体" w:hAnsi="宋体" w:eastAsia="宋体" w:cs="宋体"/>
                <w:b/>
                <w:bCs/>
                <w:color w:val="auto"/>
                <w:highlight w:val="none"/>
              </w:rPr>
              <w:t>时间为准）</w:t>
            </w:r>
          </w:p>
        </w:tc>
      </w:tr>
      <w:tr w14:paraId="4016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718C0DF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1483" w:type="dxa"/>
            <w:vAlign w:val="center"/>
          </w:tcPr>
          <w:p w14:paraId="657CCF1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构成响应文件的其他材料</w:t>
            </w:r>
          </w:p>
        </w:tc>
        <w:tc>
          <w:tcPr>
            <w:tcW w:w="7052" w:type="dxa"/>
            <w:vAlign w:val="center"/>
          </w:tcPr>
          <w:p w14:paraId="7B0B473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采购人在招标期间发出的有编号的补遗书和其它有效正式函件</w:t>
            </w:r>
          </w:p>
        </w:tc>
      </w:tr>
      <w:tr w14:paraId="0150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970" w:type="dxa"/>
            <w:vAlign w:val="center"/>
          </w:tcPr>
          <w:p w14:paraId="7C63515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1483" w:type="dxa"/>
            <w:vAlign w:val="center"/>
          </w:tcPr>
          <w:p w14:paraId="06A826D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7052" w:type="dxa"/>
            <w:vAlign w:val="center"/>
          </w:tcPr>
          <w:p w14:paraId="3E3E038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90天</w:t>
            </w:r>
            <w:r>
              <w:rPr>
                <w:rFonts w:hint="eastAsia" w:ascii="宋体" w:hAnsi="宋体" w:eastAsia="宋体" w:cs="宋体"/>
                <w:color w:val="auto"/>
                <w:highlight w:val="none"/>
              </w:rPr>
              <w:t>（投标截止之日起开始计算）</w:t>
            </w:r>
          </w:p>
        </w:tc>
      </w:tr>
      <w:tr w14:paraId="122C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970" w:type="dxa"/>
            <w:vAlign w:val="center"/>
          </w:tcPr>
          <w:p w14:paraId="1154B4B7">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1483" w:type="dxa"/>
            <w:vAlign w:val="center"/>
          </w:tcPr>
          <w:p w14:paraId="764CEFC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响应保证金</w:t>
            </w:r>
          </w:p>
        </w:tc>
        <w:tc>
          <w:tcPr>
            <w:tcW w:w="7052" w:type="dxa"/>
            <w:vAlign w:val="center"/>
          </w:tcPr>
          <w:p w14:paraId="32AA664B">
            <w:pPr>
              <w:keepNext w:val="0"/>
              <w:keepLines w:val="0"/>
              <w:pageBreakBefore w:val="0"/>
              <w:numPr>
                <w:ilvl w:val="0"/>
                <w:numId w:val="1"/>
              </w:numPr>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响应保证金的金额：</w:t>
            </w:r>
            <w:r>
              <w:rPr>
                <w:rFonts w:hint="eastAsia" w:ascii="宋体" w:hAnsi="宋体" w:eastAsia="宋体" w:cs="宋体"/>
                <w:b/>
                <w:bCs/>
                <w:color w:val="auto"/>
                <w:highlight w:val="none"/>
                <w:lang w:val="en-US" w:eastAsia="zh-CN"/>
              </w:rPr>
              <w:t>不要求。</w:t>
            </w:r>
          </w:p>
        </w:tc>
      </w:tr>
      <w:tr w14:paraId="4E0D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791B361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1483" w:type="dxa"/>
            <w:vAlign w:val="center"/>
          </w:tcPr>
          <w:p w14:paraId="6D6BEC9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是否允许递交备选方案</w:t>
            </w:r>
          </w:p>
        </w:tc>
        <w:tc>
          <w:tcPr>
            <w:tcW w:w="7052" w:type="dxa"/>
            <w:vAlign w:val="center"/>
          </w:tcPr>
          <w:p w14:paraId="08CB7DE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☑不允许</w:t>
            </w:r>
          </w:p>
          <w:p w14:paraId="3912ADA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w:t>
            </w:r>
          </w:p>
        </w:tc>
      </w:tr>
      <w:tr w14:paraId="497E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DE5428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1483" w:type="dxa"/>
            <w:vAlign w:val="center"/>
          </w:tcPr>
          <w:p w14:paraId="36B0D22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签字和（或）盖章要求</w:t>
            </w:r>
          </w:p>
        </w:tc>
        <w:tc>
          <w:tcPr>
            <w:tcW w:w="7052" w:type="dxa"/>
            <w:vAlign w:val="center"/>
          </w:tcPr>
          <w:p w14:paraId="6493EC7B">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yellow"/>
              </w:rPr>
            </w:pPr>
            <w:r>
              <w:rPr>
                <w:rFonts w:hint="eastAsia" w:ascii="宋体" w:hAnsi="宋体" w:eastAsia="宋体" w:cs="宋体"/>
                <w:color w:val="auto"/>
                <w:highlight w:val="yellow"/>
              </w:rPr>
              <w:t>响应文件签字或盖章要求：</w:t>
            </w:r>
            <w:r>
              <w:rPr>
                <w:rFonts w:hint="eastAsia" w:ascii="宋体" w:hAnsi="宋体" w:eastAsia="宋体" w:cs="宋体"/>
                <w:color w:val="auto"/>
                <w:highlight w:val="yellow"/>
                <w:lang w:val="en-US" w:eastAsia="zh-CN"/>
              </w:rPr>
              <w:t>按照</w:t>
            </w:r>
            <w:r>
              <w:rPr>
                <w:rFonts w:hint="eastAsia" w:ascii="宋体" w:hAnsi="宋体" w:eastAsia="宋体" w:cs="宋体"/>
                <w:color w:val="auto"/>
                <w:highlight w:val="yellow"/>
              </w:rPr>
              <w:t>响应文件按格式要求盖章、签字（或盖章）；</w:t>
            </w:r>
          </w:p>
          <w:p w14:paraId="110295C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yellow"/>
                <w:lang w:val="en-US" w:eastAsia="zh-CN"/>
              </w:rPr>
              <w:t>投标文件除技术文件外均须逐页盖章。</w:t>
            </w:r>
          </w:p>
        </w:tc>
      </w:tr>
      <w:tr w14:paraId="7AFD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70" w:type="dxa"/>
            <w:vAlign w:val="center"/>
          </w:tcPr>
          <w:p w14:paraId="5A5D83E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1483" w:type="dxa"/>
            <w:vAlign w:val="center"/>
          </w:tcPr>
          <w:p w14:paraId="43A60A8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递交</w:t>
            </w:r>
          </w:p>
        </w:tc>
        <w:tc>
          <w:tcPr>
            <w:tcW w:w="7052" w:type="dxa"/>
            <w:vAlign w:val="center"/>
          </w:tcPr>
          <w:p w14:paraId="25B9DC2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60" w:firstLineChars="200"/>
              <w:jc w:val="both"/>
              <w:textAlignment w:val="auto"/>
              <w:rPr>
                <w:rFonts w:hint="eastAsia" w:ascii="宋体" w:hAnsi="宋体" w:eastAsia="宋体" w:cs="宋体"/>
                <w:b w:val="0"/>
                <w:bCs w:val="0"/>
                <w:color w:val="0000FF"/>
                <w:spacing w:val="-5"/>
                <w:highlight w:val="none"/>
                <w:lang w:val="en-US" w:eastAsia="zh-CN"/>
              </w:rPr>
            </w:pPr>
            <w:r>
              <w:rPr>
                <w:rFonts w:hint="eastAsia" w:ascii="宋体" w:hAnsi="宋体" w:eastAsia="宋体" w:cs="宋体"/>
                <w:b w:val="0"/>
                <w:bCs w:val="0"/>
                <w:color w:val="0000FF"/>
                <w:spacing w:val="-5"/>
                <w:highlight w:val="none"/>
                <w:lang w:val="en-US" w:eastAsia="zh-CN"/>
              </w:rPr>
              <w:t>投标人应</w:t>
            </w:r>
            <w:r>
              <w:rPr>
                <w:rFonts w:hint="eastAsia" w:ascii="宋体" w:hAnsi="宋体" w:eastAsia="宋体" w:cs="宋体"/>
                <w:b w:val="0"/>
                <w:bCs w:val="0"/>
                <w:color w:val="0000FF"/>
                <w:spacing w:val="-5"/>
                <w:highlight w:val="none"/>
              </w:rPr>
              <w:t>递交</w:t>
            </w:r>
            <w:r>
              <w:rPr>
                <w:rFonts w:hint="eastAsia" w:ascii="宋体" w:hAnsi="宋体" w:eastAsia="宋体" w:cs="宋体"/>
                <w:b w:val="0"/>
                <w:bCs w:val="0"/>
                <w:color w:val="0000FF"/>
                <w:spacing w:val="-5"/>
                <w:highlight w:val="none"/>
                <w:lang w:val="en-US" w:eastAsia="zh-CN"/>
              </w:rPr>
              <w:t>签字盖章齐全并且胶装的投标文件1正2副和投标文件正本扫描件一份(电子版U盘形式提交）；</w:t>
            </w:r>
          </w:p>
          <w:p w14:paraId="3BAFF926">
            <w:pPr>
              <w:pStyle w:val="17"/>
              <w:keepNext w:val="0"/>
              <w:keepLines w:val="0"/>
              <w:pageBreakBefore w:val="0"/>
              <w:kinsoku/>
              <w:wordWrap/>
              <w:overflowPunct/>
              <w:topLinePunct w:val="0"/>
              <w:autoSpaceDE/>
              <w:autoSpaceDN/>
              <w:bidi w:val="0"/>
              <w:spacing w:before="37" w:line="500" w:lineRule="exact"/>
              <w:ind w:left="0" w:leftChars="0" w:right="0" w:rightChars="0" w:firstLine="462" w:firstLineChars="200"/>
              <w:jc w:val="both"/>
              <w:textAlignment w:val="auto"/>
              <w:outlineLvl w:val="9"/>
              <w:rPr>
                <w:rFonts w:hint="eastAsia" w:ascii="宋体" w:hAnsi="宋体" w:eastAsia="宋体" w:cs="宋体"/>
                <w:b w:val="0"/>
                <w:bCs w:val="0"/>
                <w:color w:val="0000FF"/>
                <w:spacing w:val="-2"/>
                <w:highlight w:val="none"/>
              </w:rPr>
            </w:pPr>
            <w:r>
              <w:rPr>
                <w:rFonts w:hint="eastAsia" w:ascii="宋体" w:hAnsi="宋体" w:eastAsia="宋体" w:cs="宋体"/>
                <w:b/>
                <w:bCs/>
                <w:color w:val="0000FF"/>
                <w:spacing w:val="-5"/>
                <w:highlight w:val="none"/>
                <w:lang w:val="en-US" w:eastAsia="zh-CN"/>
              </w:rPr>
              <w:t>注：密封递交，封套处应标明项目名称、供应商名称及开标日期。</w:t>
            </w:r>
            <w:r>
              <w:rPr>
                <w:rFonts w:hint="eastAsia" w:ascii="宋体" w:hAnsi="宋体" w:eastAsia="宋体" w:cs="宋体"/>
                <w:b w:val="0"/>
                <w:bCs w:val="0"/>
                <w:color w:val="0000FF"/>
                <w:spacing w:val="-2"/>
                <w:highlight w:val="none"/>
              </w:rPr>
              <w:t>封面格式如下：</w:t>
            </w:r>
          </w:p>
          <w:p w14:paraId="562B41F5">
            <w:pPr>
              <w:pStyle w:val="17"/>
              <w:keepNext w:val="0"/>
              <w:keepLines w:val="0"/>
              <w:pageBreakBefore w:val="0"/>
              <w:kinsoku/>
              <w:wordWrap/>
              <w:overflowPunct/>
              <w:topLinePunct w:val="0"/>
              <w:autoSpaceDE/>
              <w:autoSpaceDN/>
              <w:bidi w:val="0"/>
              <w:spacing w:before="37" w:line="500" w:lineRule="exact"/>
              <w:ind w:left="0" w:leftChars="0" w:right="0" w:rightChars="0" w:firstLine="472" w:firstLineChars="200"/>
              <w:jc w:val="both"/>
              <w:textAlignment w:val="auto"/>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招标人：[招标人全称]</w:t>
            </w:r>
          </w:p>
          <w:p w14:paraId="48E4BA29">
            <w:pPr>
              <w:pStyle w:val="17"/>
              <w:keepNext w:val="0"/>
              <w:keepLines w:val="0"/>
              <w:pageBreakBefore w:val="0"/>
              <w:kinsoku/>
              <w:wordWrap/>
              <w:overflowPunct/>
              <w:topLinePunct w:val="0"/>
              <w:autoSpaceDE/>
              <w:autoSpaceDN/>
              <w:bidi w:val="0"/>
              <w:spacing w:before="37" w:line="500" w:lineRule="exact"/>
              <w:ind w:left="0" w:leftChars="0" w:right="0" w:rightChars="0" w:firstLine="472" w:firstLineChars="200"/>
              <w:jc w:val="both"/>
              <w:textAlignment w:val="auto"/>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招标编号：</w:t>
            </w:r>
          </w:p>
          <w:p w14:paraId="7A0DC50B">
            <w:pPr>
              <w:pStyle w:val="17"/>
              <w:keepNext w:val="0"/>
              <w:keepLines w:val="0"/>
              <w:pageBreakBefore w:val="0"/>
              <w:kinsoku/>
              <w:wordWrap/>
              <w:overflowPunct/>
              <w:topLinePunct w:val="0"/>
              <w:autoSpaceDE/>
              <w:autoSpaceDN/>
              <w:bidi w:val="0"/>
              <w:spacing w:before="37" w:line="500" w:lineRule="exact"/>
              <w:ind w:left="0" w:leftChars="0" w:right="0" w:rightChars="0" w:firstLine="472" w:firstLineChars="200"/>
              <w:jc w:val="both"/>
              <w:textAlignment w:val="auto"/>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开标前不得启封</w:t>
            </w:r>
          </w:p>
          <w:p w14:paraId="593C5FF9">
            <w:pPr>
              <w:pStyle w:val="17"/>
              <w:keepNext w:val="0"/>
              <w:keepLines w:val="0"/>
              <w:pageBreakBefore w:val="0"/>
              <w:kinsoku/>
              <w:wordWrap/>
              <w:overflowPunct/>
              <w:topLinePunct w:val="0"/>
              <w:autoSpaceDE/>
              <w:autoSpaceDN/>
              <w:bidi w:val="0"/>
              <w:spacing w:before="37" w:line="500" w:lineRule="exact"/>
              <w:ind w:left="0" w:leftChars="0" w:right="0" w:rightChars="0" w:firstLine="472" w:firstLineChars="200"/>
              <w:jc w:val="both"/>
              <w:textAlignment w:val="auto"/>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（于2026年   月   日    时前）</w:t>
            </w:r>
          </w:p>
          <w:p w14:paraId="1D47150A">
            <w:pPr>
              <w:pStyle w:val="17"/>
              <w:keepNext w:val="0"/>
              <w:keepLines w:val="0"/>
              <w:pageBreakBefore w:val="0"/>
              <w:kinsoku/>
              <w:wordWrap/>
              <w:overflowPunct/>
              <w:topLinePunct w:val="0"/>
              <w:autoSpaceDE/>
              <w:autoSpaceDN/>
              <w:bidi w:val="0"/>
              <w:spacing w:before="37" w:line="500" w:lineRule="exact"/>
              <w:ind w:left="0" w:leftChars="0" w:right="0" w:rightChars="0" w:firstLine="472" w:firstLineChars="200"/>
              <w:jc w:val="both"/>
              <w:textAlignment w:val="auto"/>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投标人全称：            （加盖公章）</w:t>
            </w:r>
          </w:p>
          <w:p w14:paraId="213E919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72" w:firstLineChars="200"/>
              <w:jc w:val="both"/>
              <w:textAlignment w:val="auto"/>
              <w:rPr>
                <w:rFonts w:hint="default" w:ascii="宋体" w:hAnsi="宋体" w:eastAsia="宋体" w:cs="宋体"/>
                <w:b w:val="0"/>
                <w:bCs w:val="0"/>
                <w:color w:val="0000FF"/>
                <w:spacing w:val="-5"/>
                <w:highlight w:val="none"/>
                <w:lang w:val="en-US" w:eastAsia="zh-CN"/>
              </w:rPr>
            </w:pPr>
            <w:r>
              <w:rPr>
                <w:rFonts w:hint="eastAsia" w:ascii="宋体" w:hAnsi="宋体" w:eastAsia="宋体" w:cs="宋体"/>
                <w:b w:val="0"/>
                <w:bCs w:val="0"/>
                <w:color w:val="0000FF"/>
                <w:spacing w:val="-2"/>
                <w:highlight w:val="none"/>
              </w:rPr>
              <w:t>投标人地址：</w:t>
            </w:r>
          </w:p>
        </w:tc>
      </w:tr>
      <w:tr w14:paraId="25AE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trPr>
        <w:tc>
          <w:tcPr>
            <w:tcW w:w="970" w:type="dxa"/>
            <w:vAlign w:val="center"/>
          </w:tcPr>
          <w:p w14:paraId="3B441CC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1483" w:type="dxa"/>
            <w:vAlign w:val="center"/>
          </w:tcPr>
          <w:p w14:paraId="36CE708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递交响应文件地点</w:t>
            </w:r>
          </w:p>
        </w:tc>
        <w:tc>
          <w:tcPr>
            <w:tcW w:w="7052" w:type="dxa"/>
            <w:vAlign w:val="center"/>
          </w:tcPr>
          <w:p w14:paraId="33745DC3">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60" w:firstLineChars="200"/>
              <w:jc w:val="both"/>
              <w:textAlignment w:val="auto"/>
              <w:rPr>
                <w:rFonts w:hint="eastAsia" w:ascii="宋体" w:hAnsi="宋体" w:eastAsia="宋体" w:cs="宋体"/>
                <w:color w:val="auto"/>
                <w:highlight w:val="none"/>
              </w:rPr>
            </w:pPr>
            <w:r>
              <w:rPr>
                <w:rFonts w:hint="eastAsia" w:ascii="宋体" w:hAnsi="宋体" w:eastAsia="宋体" w:cs="宋体"/>
                <w:b w:val="0"/>
                <w:bCs w:val="0"/>
                <w:color w:val="0000FF"/>
                <w:spacing w:val="-5"/>
                <w:highlight w:val="none"/>
              </w:rPr>
              <w:t>本项目</w:t>
            </w:r>
            <w:r>
              <w:rPr>
                <w:rFonts w:hint="eastAsia" w:ascii="宋体" w:hAnsi="宋体" w:eastAsia="宋体" w:cs="宋体"/>
                <w:b w:val="0"/>
                <w:bCs w:val="0"/>
                <w:color w:val="0000FF"/>
                <w:spacing w:val="-5"/>
                <w:highlight w:val="none"/>
                <w:lang w:val="en-US" w:eastAsia="zh-CN"/>
              </w:rPr>
              <w:t>为线下开标</w:t>
            </w:r>
            <w:r>
              <w:rPr>
                <w:rFonts w:hint="eastAsia" w:ascii="宋体" w:hAnsi="宋体" w:eastAsia="宋体" w:cs="宋体"/>
                <w:b w:val="0"/>
                <w:bCs w:val="0"/>
                <w:color w:val="0000FF"/>
                <w:spacing w:val="-5"/>
                <w:highlight w:val="none"/>
              </w:rPr>
              <w:t>，供应商只需在</w:t>
            </w:r>
            <w:r>
              <w:rPr>
                <w:rFonts w:hint="eastAsia" w:ascii="宋体" w:hAnsi="宋体" w:eastAsia="宋体" w:cs="宋体"/>
                <w:color w:val="0000FF"/>
                <w:highlight w:val="yellow"/>
                <w:shd w:val="clear" w:color="auto" w:fill="FFFFFF"/>
              </w:rPr>
              <w:t>202</w:t>
            </w:r>
            <w:r>
              <w:rPr>
                <w:rFonts w:hint="eastAsia" w:ascii="宋体" w:hAnsi="宋体" w:eastAsia="宋体" w:cs="宋体"/>
                <w:color w:val="0000FF"/>
                <w:highlight w:val="yellow"/>
                <w:shd w:val="clear" w:color="auto" w:fill="FFFFFF"/>
                <w:lang w:val="en-US" w:eastAsia="zh-CN"/>
              </w:rPr>
              <w:t>6</w:t>
            </w:r>
            <w:r>
              <w:rPr>
                <w:rFonts w:hint="eastAsia" w:ascii="宋体" w:hAnsi="宋体" w:eastAsia="宋体" w:cs="宋体"/>
                <w:color w:val="0000FF"/>
                <w:highlight w:val="yellow"/>
                <w:shd w:val="clear" w:color="auto" w:fill="FFFFFF"/>
              </w:rPr>
              <w:t>年</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月</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日</w:t>
            </w:r>
            <w:r>
              <w:rPr>
                <w:rFonts w:hint="eastAsia" w:ascii="宋体" w:hAnsi="宋体" w:eastAsia="宋体" w:cs="宋体"/>
                <w:color w:val="0000FF"/>
                <w:highlight w:val="yellow"/>
                <w:shd w:val="clear" w:color="auto" w:fill="FFFFFF"/>
                <w:lang w:val="en-US" w:eastAsia="zh-CN"/>
              </w:rPr>
              <w:t xml:space="preserve">   </w:t>
            </w:r>
            <w:r>
              <w:rPr>
                <w:rFonts w:hint="eastAsia" w:ascii="宋体" w:hAnsi="宋体" w:eastAsia="宋体" w:cs="宋体"/>
                <w:color w:val="0000FF"/>
                <w:highlight w:val="yellow"/>
                <w:shd w:val="clear" w:color="auto" w:fill="FFFFFF"/>
              </w:rPr>
              <w:t>时</w:t>
            </w:r>
            <w:r>
              <w:rPr>
                <w:rFonts w:hint="eastAsia" w:ascii="宋体" w:hAnsi="宋体" w:eastAsia="宋体" w:cs="宋体"/>
                <w:color w:val="0000FF"/>
                <w:highlight w:val="yellow"/>
                <w:shd w:val="clear" w:color="auto" w:fill="FFFFFF"/>
                <w:lang w:val="en-US" w:eastAsia="zh-CN"/>
              </w:rPr>
              <w:t xml:space="preserve"> 00 </w:t>
            </w:r>
            <w:r>
              <w:rPr>
                <w:rFonts w:hint="eastAsia" w:ascii="宋体" w:hAnsi="宋体" w:eastAsia="宋体" w:cs="宋体"/>
                <w:color w:val="0000FF"/>
                <w:highlight w:val="yellow"/>
                <w:shd w:val="clear" w:color="auto" w:fill="FFFFFF"/>
              </w:rPr>
              <w:t>分</w:t>
            </w:r>
            <w:r>
              <w:rPr>
                <w:rFonts w:hint="eastAsia" w:ascii="宋体" w:hAnsi="宋体" w:eastAsia="宋体" w:cs="宋体"/>
                <w:b w:val="0"/>
                <w:bCs w:val="0"/>
                <w:color w:val="0000FF"/>
                <w:spacing w:val="-5"/>
                <w:highlight w:val="yellow"/>
              </w:rPr>
              <w:t>（</w:t>
            </w:r>
            <w:r>
              <w:rPr>
                <w:rFonts w:hint="eastAsia" w:ascii="宋体" w:hAnsi="宋体" w:eastAsia="宋体" w:cs="宋体"/>
                <w:b w:val="0"/>
                <w:bCs w:val="0"/>
                <w:color w:val="0000FF"/>
                <w:spacing w:val="-5"/>
                <w:highlight w:val="none"/>
              </w:rPr>
              <w:t>北京时间）前，递交文件至遵义交科工程检测有限公司（遵义市新蒲新区兴遵西路8号）</w:t>
            </w:r>
            <w:r>
              <w:rPr>
                <w:rFonts w:hint="eastAsia" w:ascii="宋体" w:hAnsi="宋体" w:eastAsia="宋体" w:cs="宋体"/>
                <w:color w:val="auto"/>
                <w:highlight w:val="none"/>
              </w:rPr>
              <w:t>。</w:t>
            </w:r>
          </w:p>
        </w:tc>
      </w:tr>
      <w:tr w14:paraId="2F4F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DA3790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1483" w:type="dxa"/>
            <w:vAlign w:val="center"/>
          </w:tcPr>
          <w:p w14:paraId="11D160C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是否退还响应文件</w:t>
            </w:r>
          </w:p>
        </w:tc>
        <w:tc>
          <w:tcPr>
            <w:tcW w:w="7052" w:type="dxa"/>
            <w:vAlign w:val="center"/>
          </w:tcPr>
          <w:p w14:paraId="3A79FA8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587D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3F708D1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1483" w:type="dxa"/>
            <w:vAlign w:val="center"/>
          </w:tcPr>
          <w:p w14:paraId="062193B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7052" w:type="dxa"/>
            <w:vAlign w:val="center"/>
          </w:tcPr>
          <w:p w14:paraId="5DA505F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时间：同投标截止时间</w:t>
            </w:r>
          </w:p>
          <w:p w14:paraId="7F44401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地点：</w:t>
            </w:r>
            <w:r>
              <w:rPr>
                <w:rFonts w:hint="eastAsia" w:ascii="宋体" w:hAnsi="宋体" w:eastAsia="宋体" w:cs="宋体"/>
                <w:b w:val="0"/>
                <w:bCs w:val="0"/>
                <w:color w:val="0000FF"/>
                <w:spacing w:val="-1"/>
                <w:highlight w:val="none"/>
              </w:rPr>
              <w:t>遵义交科工程检测有限公司（遵义市新蒲新区兴遵西路8号）</w:t>
            </w:r>
            <w:r>
              <w:rPr>
                <w:rFonts w:hint="eastAsia" w:ascii="宋体" w:hAnsi="宋体" w:eastAsia="宋体" w:cs="宋体"/>
                <w:color w:val="auto"/>
                <w:highlight w:val="none"/>
              </w:rPr>
              <w:t>。</w:t>
            </w:r>
          </w:p>
        </w:tc>
      </w:tr>
      <w:tr w14:paraId="47E6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81339D3">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1483" w:type="dxa"/>
            <w:vAlign w:val="center"/>
          </w:tcPr>
          <w:p w14:paraId="1FC1589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7052" w:type="dxa"/>
            <w:vAlign w:val="center"/>
          </w:tcPr>
          <w:p w14:paraId="1EEDE7F0">
            <w:pPr>
              <w:pStyle w:val="17"/>
              <w:keepNext w:val="0"/>
              <w:keepLines w:val="0"/>
              <w:pageBreakBefore w:val="0"/>
              <w:kinsoku/>
              <w:wordWrap/>
              <w:overflowPunct/>
              <w:topLinePunct w:val="0"/>
              <w:autoSpaceDE/>
              <w:autoSpaceDN/>
              <w:bidi w:val="0"/>
              <w:spacing w:before="37" w:line="500" w:lineRule="exact"/>
              <w:ind w:left="0" w:leftChars="0" w:right="0" w:rightChars="0" w:firstLine="466" w:firstLineChars="200"/>
              <w:jc w:val="both"/>
              <w:textAlignment w:val="auto"/>
              <w:outlineLvl w:val="9"/>
              <w:rPr>
                <w:rFonts w:hint="eastAsia" w:ascii="宋体" w:hAnsi="宋体" w:eastAsia="宋体" w:cs="宋体"/>
                <w:b/>
                <w:bCs/>
                <w:color w:val="0000FF"/>
                <w:highlight w:val="none"/>
              </w:rPr>
            </w:pPr>
            <w:r>
              <w:rPr>
                <w:rFonts w:hint="eastAsia" w:ascii="宋体" w:hAnsi="宋体" w:eastAsia="宋体" w:cs="宋体"/>
                <w:b/>
                <w:bCs/>
                <w:color w:val="0000FF"/>
                <w:spacing w:val="-4"/>
                <w:highlight w:val="none"/>
              </w:rPr>
              <w:t>谈判程序：</w:t>
            </w:r>
          </w:p>
          <w:p w14:paraId="6170057F">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2EFFC2B5">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（2）宣读纪律：开标时间到，采购人或代理机构工作人员宣布开标会开始，并宣读开标会会场纪律和注意事项。</w:t>
            </w:r>
          </w:p>
          <w:p w14:paraId="0CD37D1F">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供应商代表身份验证：核验参加开标会议的供应商代表身份：</w:t>
            </w:r>
          </w:p>
          <w:p w14:paraId="390A2E1E">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①供应商的法定代表人参加开标会议的：应出示本人身份证（原件及复印件）、法定代表人身份证明原件、营业执照副本复印件加盖单位公章。</w:t>
            </w:r>
          </w:p>
          <w:p w14:paraId="39D94D53">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7CB7F2B7">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（3）开标记录：采购人或代理机构工作人员开标情况进行记录，现场开标情况记录表由采购人代表、监督人员和供应商代表签字确认。若供应商代表对开标唱标有异议的，可举手示意，待核验身份后提出异议。</w:t>
            </w:r>
          </w:p>
          <w:p w14:paraId="0E9833FE">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（4）评审流程：评标委员会签到，确认无需回避后，推选一名评标组长，由评标组长按照以下流程组织评标。</w:t>
            </w:r>
          </w:p>
          <w:p w14:paraId="64A34D3D">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（5）初步审查：谈判小组严格依据响应文件所提供的资料，对照《</w:t>
            </w:r>
            <w:r>
              <w:rPr>
                <w:rFonts w:hint="eastAsia" w:ascii="宋体" w:hAnsi="宋体" w:eastAsia="宋体" w:cs="宋体"/>
                <w:b w:val="0"/>
                <w:bCs w:val="0"/>
                <w:color w:val="0000FF"/>
                <w:spacing w:val="-1"/>
                <w:highlight w:val="none"/>
                <w:lang w:eastAsia="zh-CN"/>
              </w:rPr>
              <w:t>评标办法前附表</w:t>
            </w:r>
            <w:r>
              <w:rPr>
                <w:rFonts w:hint="eastAsia" w:ascii="宋体" w:hAnsi="宋体" w:eastAsia="宋体" w:cs="宋体"/>
                <w:b w:val="0"/>
                <w:bCs w:val="0"/>
                <w:color w:val="0000FF"/>
                <w:spacing w:val="-1"/>
                <w:highlight w:val="none"/>
              </w:rPr>
              <w:t>》所列内容对供应商进行资格性审查及符合性审查，审查通过的供应商进入谈判环节。未通过初步审查的响应文件不参与最后报价。通过初步审查的供应商不足三家的，本项目废标，谈判工作结束。</w:t>
            </w:r>
          </w:p>
          <w:p w14:paraId="4177B4BA">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（6）通过资格审查、符合性审查的供应商进行第二轮报价（最终报价）。</w:t>
            </w:r>
          </w:p>
          <w:p w14:paraId="043114A5">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注：报价时间为</w:t>
            </w:r>
            <w:r>
              <w:rPr>
                <w:rFonts w:hint="eastAsia" w:ascii="宋体" w:hAnsi="宋体" w:eastAsia="宋体" w:cs="宋体"/>
                <w:b w:val="0"/>
                <w:bCs w:val="0"/>
                <w:color w:val="0000FF"/>
                <w:spacing w:val="-1"/>
                <w:highlight w:val="none"/>
                <w:lang w:val="en-US" w:eastAsia="zh-CN"/>
              </w:rPr>
              <w:t>30</w:t>
            </w:r>
            <w:r>
              <w:rPr>
                <w:rFonts w:hint="eastAsia" w:ascii="宋体" w:hAnsi="宋体" w:eastAsia="宋体" w:cs="宋体"/>
                <w:b w:val="0"/>
                <w:bCs w:val="0"/>
                <w:color w:val="0000FF"/>
                <w:spacing w:val="-1"/>
                <w:highlight w:val="none"/>
              </w:rPr>
              <w:t>分钟，供应商需在</w:t>
            </w:r>
            <w:r>
              <w:rPr>
                <w:rFonts w:hint="eastAsia" w:ascii="宋体" w:hAnsi="宋体" w:eastAsia="宋体" w:cs="宋体"/>
                <w:b w:val="0"/>
                <w:bCs w:val="0"/>
                <w:color w:val="0000FF"/>
                <w:spacing w:val="-1"/>
                <w:highlight w:val="none"/>
                <w:lang w:val="en-US" w:eastAsia="zh-CN"/>
              </w:rPr>
              <w:t>30</w:t>
            </w:r>
            <w:r>
              <w:rPr>
                <w:rFonts w:hint="eastAsia" w:ascii="宋体" w:hAnsi="宋体" w:eastAsia="宋体" w:cs="宋体"/>
                <w:b w:val="0"/>
                <w:bCs w:val="0"/>
                <w:color w:val="0000FF"/>
                <w:spacing w:val="-1"/>
                <w:highlight w:val="none"/>
              </w:rPr>
              <w:t>分钟内完成二次报价（最终），未在</w:t>
            </w:r>
            <w:r>
              <w:rPr>
                <w:rFonts w:hint="eastAsia" w:ascii="宋体" w:hAnsi="宋体" w:eastAsia="宋体" w:cs="宋体"/>
                <w:b w:val="0"/>
                <w:bCs w:val="0"/>
                <w:color w:val="0000FF"/>
                <w:spacing w:val="-1"/>
                <w:highlight w:val="none"/>
                <w:lang w:val="en-US" w:eastAsia="zh-CN"/>
              </w:rPr>
              <w:t>30</w:t>
            </w:r>
            <w:r>
              <w:rPr>
                <w:rFonts w:hint="eastAsia" w:ascii="宋体" w:hAnsi="宋体" w:eastAsia="宋体" w:cs="宋体"/>
                <w:b w:val="0"/>
                <w:bCs w:val="0"/>
                <w:color w:val="0000FF"/>
                <w:spacing w:val="-1"/>
                <w:highlight w:val="none"/>
              </w:rPr>
              <w:t>分钟内完成二次报价（最终）的默认一次报价为二次报价（最终）。</w:t>
            </w:r>
          </w:p>
          <w:p w14:paraId="73BBBD66">
            <w:pPr>
              <w:pStyle w:val="17"/>
              <w:keepNext w:val="0"/>
              <w:keepLines w:val="0"/>
              <w:pageBreakBefore w:val="0"/>
              <w:kinsoku/>
              <w:wordWrap/>
              <w:overflowPunct/>
              <w:topLinePunct w:val="0"/>
              <w:autoSpaceDE/>
              <w:autoSpaceDN/>
              <w:bidi w:val="0"/>
              <w:spacing w:before="1" w:line="500" w:lineRule="exact"/>
              <w:ind w:left="0" w:leftChars="0" w:right="0" w:rightChars="0" w:firstLine="476" w:firstLineChars="200"/>
              <w:jc w:val="both"/>
              <w:textAlignment w:val="auto"/>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（7）由谈判专家组对供应商所递交的</w:t>
            </w:r>
            <w:r>
              <w:rPr>
                <w:rFonts w:hint="eastAsia" w:ascii="宋体" w:hAnsi="宋体" w:eastAsia="宋体" w:cs="宋体"/>
                <w:b w:val="0"/>
                <w:bCs w:val="0"/>
                <w:color w:val="0000FF"/>
                <w:spacing w:val="-1"/>
                <w:highlight w:val="none"/>
                <w:lang w:eastAsia="zh-CN"/>
              </w:rPr>
              <w:t>响应文件及最终报价进行评审和排序</w:t>
            </w:r>
            <w:r>
              <w:rPr>
                <w:rFonts w:hint="eastAsia" w:ascii="宋体" w:hAnsi="宋体" w:eastAsia="宋体" w:cs="宋体"/>
                <w:b w:val="0"/>
                <w:bCs w:val="0"/>
                <w:color w:val="0000FF"/>
                <w:spacing w:val="-1"/>
                <w:highlight w:val="none"/>
              </w:rPr>
              <w:t>并汇总评审结果，评标委员会成员须在评标报告上签字确认。</w:t>
            </w:r>
          </w:p>
          <w:p w14:paraId="3F30127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76" w:firstLineChars="200"/>
              <w:jc w:val="both"/>
              <w:textAlignment w:val="auto"/>
              <w:rPr>
                <w:rFonts w:hint="eastAsia" w:ascii="宋体" w:hAnsi="宋体" w:eastAsia="宋体" w:cs="宋体"/>
                <w:color w:val="auto"/>
                <w:highlight w:val="none"/>
              </w:rPr>
            </w:pPr>
            <w:r>
              <w:rPr>
                <w:rFonts w:hint="eastAsia" w:ascii="宋体" w:hAnsi="宋体" w:eastAsia="宋体" w:cs="宋体"/>
                <w:b w:val="0"/>
                <w:bCs w:val="0"/>
                <w:color w:val="0000FF"/>
                <w:spacing w:val="-1"/>
                <w:highlight w:val="none"/>
                <w:lang w:eastAsia="zh-CN"/>
              </w:rPr>
              <w:t>（</w:t>
            </w:r>
            <w:r>
              <w:rPr>
                <w:rFonts w:hint="eastAsia" w:ascii="宋体" w:hAnsi="宋体" w:eastAsia="宋体" w:cs="宋体"/>
                <w:b w:val="0"/>
                <w:bCs w:val="0"/>
                <w:color w:val="0000FF"/>
                <w:spacing w:val="-1"/>
                <w:highlight w:val="none"/>
                <w:lang w:val="en-US" w:eastAsia="zh-CN"/>
              </w:rPr>
              <w:t>8）</w:t>
            </w:r>
            <w:r>
              <w:rPr>
                <w:rFonts w:hint="eastAsia" w:ascii="宋体" w:hAnsi="宋体" w:eastAsia="宋体" w:cs="宋体"/>
                <w:b w:val="0"/>
                <w:bCs w:val="0"/>
                <w:color w:val="0000FF"/>
                <w:spacing w:val="-1"/>
                <w:highlight w:val="none"/>
              </w:rPr>
              <w:t>谈判结束：谈判小组出具评审报告并复核无误后，谈判工作结束。待代理机构工作人员收理好响应文件资料专家方可离开谈判区。谈判过程中谈判专家不得擅自离开谈判室或进入其他开评标室。</w:t>
            </w:r>
          </w:p>
        </w:tc>
      </w:tr>
      <w:tr w14:paraId="208B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4C2A11D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p>
        </w:tc>
        <w:tc>
          <w:tcPr>
            <w:tcW w:w="1483" w:type="dxa"/>
            <w:vAlign w:val="center"/>
          </w:tcPr>
          <w:p w14:paraId="4A65BA2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7052" w:type="dxa"/>
            <w:vAlign w:val="center"/>
          </w:tcPr>
          <w:p w14:paraId="589943A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bookmarkStart w:id="12" w:name="OLE_LINK1"/>
            <w:r>
              <w:rPr>
                <w:rFonts w:hint="eastAsia" w:ascii="宋体" w:hAnsi="宋体" w:eastAsia="宋体" w:cs="宋体"/>
                <w:highlight w:val="none"/>
              </w:rPr>
              <w:t>评标委员会构成:由有关技术、经济专家组成，成员人数为3人</w:t>
            </w:r>
            <w:r>
              <w:rPr>
                <w:rFonts w:hint="eastAsia" w:ascii="宋体" w:hAnsi="宋体" w:eastAsia="宋体" w:cs="宋体"/>
                <w:highlight w:val="none"/>
                <w:lang w:val="en-US" w:eastAsia="zh-CN"/>
              </w:rPr>
              <w:t>及</w:t>
            </w:r>
            <w:r>
              <w:rPr>
                <w:rFonts w:hint="eastAsia" w:ascii="宋体" w:hAnsi="宋体" w:eastAsia="宋体" w:cs="宋体"/>
                <w:highlight w:val="none"/>
              </w:rPr>
              <w:t>以上单数。</w:t>
            </w:r>
            <w:bookmarkEnd w:id="12"/>
          </w:p>
        </w:tc>
      </w:tr>
      <w:tr w14:paraId="2BD1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0ED3053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w:t>
            </w:r>
          </w:p>
        </w:tc>
        <w:tc>
          <w:tcPr>
            <w:tcW w:w="1483" w:type="dxa"/>
            <w:vAlign w:val="center"/>
          </w:tcPr>
          <w:p w14:paraId="180844A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7052" w:type="dxa"/>
            <w:vAlign w:val="center"/>
          </w:tcPr>
          <w:p w14:paraId="6676FD92">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是</w:t>
            </w:r>
            <w:r>
              <w:rPr>
                <w:rFonts w:hint="eastAsia" w:ascii="宋体" w:hAnsi="宋体" w:eastAsia="宋体" w:cs="宋体"/>
                <w:color w:val="auto"/>
                <w:highlight w:val="none"/>
              </w:rPr>
              <w:t>，评标委员按综合得分</w:t>
            </w:r>
            <w:r>
              <w:rPr>
                <w:rFonts w:hint="eastAsia" w:ascii="宋体" w:hAnsi="宋体" w:eastAsia="宋体" w:cs="宋体"/>
                <w:color w:val="auto"/>
                <w:highlight w:val="none"/>
                <w:lang w:val="en-US" w:eastAsia="zh-CN"/>
              </w:rPr>
              <w:t>推荐第一名为中标</w:t>
            </w:r>
            <w:r>
              <w:rPr>
                <w:rFonts w:hint="eastAsia" w:ascii="宋体" w:hAnsi="宋体" w:eastAsia="宋体" w:cs="宋体"/>
                <w:color w:val="auto"/>
                <w:highlight w:val="none"/>
              </w:rPr>
              <w:t>候选人。</w:t>
            </w:r>
          </w:p>
        </w:tc>
      </w:tr>
      <w:tr w14:paraId="182C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970" w:type="dxa"/>
            <w:vAlign w:val="center"/>
          </w:tcPr>
          <w:p w14:paraId="157168D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w:t>
            </w:r>
          </w:p>
        </w:tc>
        <w:tc>
          <w:tcPr>
            <w:tcW w:w="1483" w:type="dxa"/>
            <w:shd w:val="clear" w:color="auto" w:fill="auto"/>
            <w:vAlign w:val="center"/>
          </w:tcPr>
          <w:p w14:paraId="34F51E5B">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shd w:val="clear" w:color="auto" w:fill="FFFF00"/>
                <w:lang w:val="en-US" w:eastAsia="zh-CN"/>
              </w:rPr>
              <w:t>履约保证金</w:t>
            </w:r>
          </w:p>
        </w:tc>
        <w:tc>
          <w:tcPr>
            <w:tcW w:w="7052" w:type="dxa"/>
            <w:shd w:val="clear" w:color="auto" w:fill="auto"/>
            <w:vAlign w:val="center"/>
          </w:tcPr>
          <w:p w14:paraId="4574A4F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r>
      <w:tr w14:paraId="3C8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F142E65">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36</w:t>
            </w:r>
          </w:p>
        </w:tc>
        <w:tc>
          <w:tcPr>
            <w:tcW w:w="1483" w:type="dxa"/>
            <w:vAlign w:val="center"/>
          </w:tcPr>
          <w:p w14:paraId="0296E0F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招标控制价</w:t>
            </w:r>
          </w:p>
        </w:tc>
        <w:tc>
          <w:tcPr>
            <w:tcW w:w="7052" w:type="dxa"/>
            <w:vAlign w:val="center"/>
          </w:tcPr>
          <w:p w14:paraId="7CF125E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2" w:firstLineChars="200"/>
              <w:jc w:val="both"/>
              <w:textAlignment w:val="auto"/>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rPr>
              <w:t>本项目最高限价为：</w:t>
            </w:r>
            <w:r>
              <w:rPr>
                <w:rFonts w:hint="eastAsia" w:ascii="宋体" w:hAnsi="宋体" w:eastAsia="宋体" w:cs="宋体"/>
                <w:b/>
                <w:bCs w:val="0"/>
                <w:color w:val="auto"/>
                <w:highlight w:val="none"/>
                <w:lang w:val="en-US" w:eastAsia="zh-CN"/>
              </w:rPr>
              <w:t>585000.00元（不含税）</w:t>
            </w:r>
            <w:r>
              <w:rPr>
                <w:rFonts w:hint="eastAsia" w:ascii="宋体" w:hAnsi="宋体" w:eastAsia="宋体" w:cs="宋体"/>
                <w:b/>
                <w:bCs/>
                <w:color w:val="auto"/>
                <w:highlight w:val="none"/>
                <w:shd w:val="clear" w:color="auto" w:fill="FFFFFF"/>
                <w:lang w:val="en-US" w:eastAsia="zh-CN"/>
              </w:rPr>
              <w:t>，详见附件材料</w:t>
            </w:r>
          </w:p>
          <w:p w14:paraId="23FDB87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2" w:firstLineChars="200"/>
              <w:jc w:val="both"/>
              <w:textAlignment w:val="auto"/>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清单。</w:t>
            </w:r>
          </w:p>
          <w:p w14:paraId="75A10FD5">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FF0000"/>
                <w:highlight w:val="none"/>
                <w:lang w:eastAsia="zh-CN"/>
              </w:rPr>
              <w:t>本项目最高投标限价:供应商的投标总价报价和投标单价报价不得高于招标控制价，高于招标控制价的为废标。</w:t>
            </w:r>
          </w:p>
        </w:tc>
      </w:tr>
      <w:tr w14:paraId="57D7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4AB10A4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37</w:t>
            </w:r>
          </w:p>
        </w:tc>
        <w:tc>
          <w:tcPr>
            <w:tcW w:w="1483" w:type="dxa"/>
            <w:vAlign w:val="center"/>
          </w:tcPr>
          <w:p w14:paraId="0BABAA8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投标报价</w:t>
            </w:r>
          </w:p>
        </w:tc>
        <w:tc>
          <w:tcPr>
            <w:tcW w:w="7052" w:type="dxa"/>
            <w:vAlign w:val="center"/>
          </w:tcPr>
          <w:p w14:paraId="79F50FA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b w:val="0"/>
                <w:bCs w:val="0"/>
                <w:color w:val="auto"/>
                <w:kern w:val="0"/>
                <w:highlight w:val="none"/>
              </w:rPr>
            </w:pPr>
            <w:r>
              <w:rPr>
                <w:rFonts w:hint="eastAsia" w:ascii="宋体" w:hAnsi="宋体" w:eastAsia="宋体" w:cs="宋体"/>
                <w:b w:val="0"/>
                <w:bCs w:val="0"/>
                <w:color w:val="auto"/>
                <w:kern w:val="0"/>
                <w:highlight w:val="none"/>
                <w:lang w:val="en-US" w:eastAsia="zh-CN"/>
              </w:rPr>
              <w:t>1</w:t>
            </w:r>
            <w:r>
              <w:rPr>
                <w:rFonts w:hint="eastAsia" w:ascii="宋体" w:hAnsi="宋体" w:eastAsia="宋体" w:cs="宋体"/>
                <w:b w:val="0"/>
                <w:bCs w:val="0"/>
                <w:color w:val="auto"/>
                <w:kern w:val="0"/>
                <w:highlight w:val="none"/>
              </w:rPr>
              <w:t>、响应报价：</w:t>
            </w:r>
            <w:r>
              <w:rPr>
                <w:rFonts w:hint="eastAsia" w:ascii="宋体" w:hAnsi="宋体" w:eastAsia="宋体" w:cs="宋体"/>
                <w:b w:val="0"/>
                <w:bCs w:val="0"/>
                <w:color w:val="auto"/>
                <w:kern w:val="0"/>
                <w:highlight w:val="none"/>
                <w:lang w:eastAsia="zh-CN"/>
              </w:rPr>
              <w:t>包含人员工资、服务费用</w:t>
            </w:r>
            <w:r>
              <w:rPr>
                <w:rFonts w:hint="eastAsia" w:ascii="宋体" w:hAnsi="宋体" w:eastAsia="宋体" w:cs="宋体"/>
                <w:b w:val="0"/>
                <w:bCs w:val="0"/>
                <w:color w:val="auto"/>
                <w:kern w:val="0"/>
                <w:highlight w:val="none"/>
              </w:rPr>
              <w:t>、</w:t>
            </w:r>
            <w:r>
              <w:rPr>
                <w:rFonts w:hint="eastAsia" w:ascii="宋体" w:hAnsi="宋体" w:eastAsia="宋体" w:cs="宋体"/>
                <w:b w:val="0"/>
                <w:bCs w:val="0"/>
                <w:color w:val="auto"/>
                <w:kern w:val="0"/>
                <w:highlight w:val="none"/>
                <w:lang w:eastAsia="zh-CN"/>
              </w:rPr>
              <w:t>利润</w:t>
            </w:r>
            <w:r>
              <w:rPr>
                <w:rFonts w:hint="eastAsia" w:ascii="宋体" w:hAnsi="宋体" w:eastAsia="宋体" w:cs="宋体"/>
                <w:b w:val="0"/>
                <w:bCs w:val="0"/>
                <w:color w:val="auto"/>
                <w:kern w:val="0"/>
                <w:highlight w:val="none"/>
              </w:rPr>
              <w:t>、风险费及其他</w:t>
            </w:r>
            <w:r>
              <w:rPr>
                <w:rFonts w:hint="eastAsia" w:ascii="宋体" w:hAnsi="宋体" w:eastAsia="宋体" w:cs="宋体"/>
                <w:b w:val="0"/>
                <w:bCs w:val="0"/>
                <w:color w:val="auto"/>
                <w:kern w:val="0"/>
                <w:highlight w:val="none"/>
                <w:lang w:eastAsia="zh-CN"/>
              </w:rPr>
              <w:t>除税费外</w:t>
            </w:r>
            <w:r>
              <w:rPr>
                <w:rFonts w:hint="eastAsia" w:ascii="宋体" w:hAnsi="宋体" w:eastAsia="宋体" w:cs="宋体"/>
                <w:b w:val="0"/>
                <w:bCs w:val="0"/>
                <w:color w:val="auto"/>
                <w:kern w:val="0"/>
                <w:highlight w:val="none"/>
              </w:rPr>
              <w:t>一切相关的所有费用，采购人将不再支付其他任何费用。</w:t>
            </w:r>
          </w:p>
          <w:p w14:paraId="40FDA7BF">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b w:val="0"/>
                <w:bCs w:val="0"/>
                <w:color w:val="auto"/>
                <w:kern w:val="0"/>
                <w:highlight w:val="none"/>
              </w:rPr>
            </w:pPr>
            <w:r>
              <w:rPr>
                <w:rFonts w:hint="eastAsia" w:ascii="宋体" w:hAnsi="宋体" w:eastAsia="宋体" w:cs="宋体"/>
                <w:b w:val="0"/>
                <w:bCs w:val="0"/>
                <w:color w:val="auto"/>
                <w:kern w:val="0"/>
                <w:highlight w:val="none"/>
                <w:lang w:val="en-US" w:eastAsia="zh-CN"/>
              </w:rPr>
              <w:t>2</w:t>
            </w:r>
            <w:r>
              <w:rPr>
                <w:rFonts w:hint="eastAsia" w:ascii="宋体" w:hAnsi="宋体" w:eastAsia="宋体" w:cs="宋体"/>
                <w:b w:val="0"/>
                <w:bCs w:val="0"/>
                <w:color w:val="auto"/>
                <w:kern w:val="0"/>
                <w:highlight w:val="none"/>
              </w:rPr>
              <w:t>、报价方式：响应报价采用的币种为人民币，供应商应充分了解该项目的总体情况以及影响响应报价的其他要素。</w:t>
            </w:r>
          </w:p>
          <w:p w14:paraId="41DC3C1A">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b/>
                <w:bCs/>
                <w:color w:val="auto"/>
                <w:highlight w:val="none"/>
              </w:rPr>
            </w:pPr>
            <w:r>
              <w:rPr>
                <w:rFonts w:hint="eastAsia" w:ascii="宋体" w:hAnsi="宋体" w:eastAsia="宋体" w:cs="宋体"/>
                <w:b w:val="0"/>
                <w:bCs w:val="0"/>
                <w:color w:val="auto"/>
                <w:kern w:val="0"/>
                <w:highlight w:val="none"/>
                <w:lang w:val="en-US" w:eastAsia="zh-CN"/>
              </w:rPr>
              <w:t>3</w:t>
            </w:r>
            <w:r>
              <w:rPr>
                <w:rFonts w:hint="eastAsia" w:ascii="宋体" w:hAnsi="宋体" w:eastAsia="宋体" w:cs="宋体"/>
                <w:b w:val="0"/>
                <w:bCs w:val="0"/>
                <w:color w:val="auto"/>
                <w:kern w:val="0"/>
                <w:highlight w:val="none"/>
              </w:rPr>
              <w:t>、除非供应商须知中另有规定，供应商所报的响应报价在合同执行过程中是固定不变的，不得以任何理由予以变更，任何包括价格调整要求的响应被认为是非实质性响应，而予以拒绝。</w:t>
            </w:r>
          </w:p>
        </w:tc>
      </w:tr>
      <w:tr w14:paraId="7EBD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AD6CC83">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38</w:t>
            </w:r>
          </w:p>
        </w:tc>
        <w:tc>
          <w:tcPr>
            <w:tcW w:w="1483" w:type="dxa"/>
            <w:vAlign w:val="center"/>
          </w:tcPr>
          <w:p w14:paraId="20F90AE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成交通知书发出的形式</w:t>
            </w:r>
          </w:p>
        </w:tc>
        <w:tc>
          <w:tcPr>
            <w:tcW w:w="7052" w:type="dxa"/>
            <w:vAlign w:val="center"/>
          </w:tcPr>
          <w:p w14:paraId="3693CBE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成交通知书：通过书面形式；</w:t>
            </w:r>
          </w:p>
        </w:tc>
      </w:tr>
      <w:tr w14:paraId="1C57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1420B16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w:t>
            </w:r>
          </w:p>
        </w:tc>
        <w:tc>
          <w:tcPr>
            <w:tcW w:w="1483" w:type="dxa"/>
            <w:vAlign w:val="center"/>
          </w:tcPr>
          <w:p w14:paraId="3F00178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中标公告</w:t>
            </w:r>
          </w:p>
        </w:tc>
        <w:tc>
          <w:tcPr>
            <w:tcW w:w="7052" w:type="dxa"/>
            <w:vAlign w:val="center"/>
          </w:tcPr>
          <w:p w14:paraId="0ECC421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公示媒介：</w:t>
            </w:r>
            <w:r>
              <w:rPr>
                <w:rFonts w:hint="eastAsia" w:ascii="宋体" w:hAnsi="宋体" w:eastAsia="宋体" w:cs="宋体"/>
                <w:color w:val="0000FF"/>
                <w:highlight w:val="none"/>
                <w:shd w:val="clear" w:color="auto" w:fill="FFFFFF"/>
              </w:rPr>
              <w:t>本项目信息在</w:t>
            </w:r>
            <w:r>
              <w:rPr>
                <w:rFonts w:hint="eastAsia" w:ascii="宋体" w:hAnsi="宋体" w:eastAsia="宋体" w:cs="宋体"/>
                <w:color w:val="0000FF"/>
                <w:highlight w:val="none"/>
                <w:shd w:val="clear" w:color="auto" w:fill="FFFFFF"/>
                <w:lang w:eastAsia="zh-CN"/>
              </w:rPr>
              <w:t>贵州遵义路桥建设集团有限公司官网</w:t>
            </w:r>
            <w:r>
              <w:rPr>
                <w:rFonts w:hint="eastAsia" w:ascii="宋体" w:hAnsi="宋体" w:eastAsia="宋体" w:cs="宋体"/>
                <w:color w:val="0000FF"/>
                <w:highlight w:val="none"/>
                <w:shd w:val="clear" w:color="auto" w:fill="FFFFFF"/>
              </w:rPr>
              <w:t>和贵州省招标投标</w:t>
            </w:r>
            <w:r>
              <w:rPr>
                <w:rFonts w:hint="eastAsia" w:ascii="宋体" w:hAnsi="宋体" w:eastAsia="宋体" w:cs="宋体"/>
                <w:color w:val="0000FF"/>
                <w:highlight w:val="none"/>
              </w:rPr>
              <w:t>公共服务平台同步公示。</w:t>
            </w:r>
          </w:p>
          <w:p w14:paraId="3DE4C76B">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公示期限：</w:t>
            </w:r>
            <w:r>
              <w:rPr>
                <w:rFonts w:hint="eastAsia" w:ascii="宋体" w:hAnsi="宋体" w:eastAsia="宋体" w:cs="宋体"/>
                <w:color w:val="auto"/>
                <w:highlight w:val="none"/>
                <w:lang w:eastAsia="zh-CN"/>
              </w:rPr>
              <w:t>不少于</w:t>
            </w:r>
            <w:r>
              <w:rPr>
                <w:rFonts w:hint="eastAsia" w:ascii="宋体" w:hAnsi="宋体" w:eastAsia="宋体" w:cs="宋体"/>
                <w:color w:val="auto"/>
                <w:highlight w:val="none"/>
                <w:lang w:val="en-US" w:eastAsia="zh-CN"/>
              </w:rPr>
              <w:t>1日</w:t>
            </w:r>
          </w:p>
          <w:p w14:paraId="7AC1C52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公示的其他内容 ：以电子交易平台公示信息为准。</w:t>
            </w:r>
          </w:p>
        </w:tc>
      </w:tr>
      <w:tr w14:paraId="50D8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53C73FD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1483" w:type="dxa"/>
            <w:vAlign w:val="center"/>
          </w:tcPr>
          <w:p w14:paraId="032D304E">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知识产权</w:t>
            </w:r>
          </w:p>
        </w:tc>
        <w:tc>
          <w:tcPr>
            <w:tcW w:w="7052" w:type="dxa"/>
            <w:vAlign w:val="center"/>
          </w:tcPr>
          <w:p w14:paraId="0B690020">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构成本</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D3A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3591D3DC">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w:t>
            </w:r>
          </w:p>
        </w:tc>
        <w:tc>
          <w:tcPr>
            <w:tcW w:w="1483" w:type="dxa"/>
            <w:vAlign w:val="center"/>
          </w:tcPr>
          <w:p w14:paraId="05C02AC3">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重新招标的其他情形</w:t>
            </w:r>
          </w:p>
        </w:tc>
        <w:tc>
          <w:tcPr>
            <w:tcW w:w="7052" w:type="dxa"/>
            <w:vAlign w:val="center"/>
          </w:tcPr>
          <w:p w14:paraId="6D8853F5">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除供应商须知正文第8条规定的情形外，除非已经产生成交候选人，在投标有效期内同意延长投标有效期的供应商少于三个的，采购人应当依法重新采购。</w:t>
            </w:r>
          </w:p>
        </w:tc>
      </w:tr>
      <w:tr w14:paraId="731A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62BA3986">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w:t>
            </w:r>
          </w:p>
        </w:tc>
        <w:tc>
          <w:tcPr>
            <w:tcW w:w="1483" w:type="dxa"/>
            <w:vAlign w:val="center"/>
          </w:tcPr>
          <w:p w14:paraId="09A401E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监 督</w:t>
            </w:r>
          </w:p>
        </w:tc>
        <w:tc>
          <w:tcPr>
            <w:tcW w:w="7052" w:type="dxa"/>
            <w:vAlign w:val="center"/>
          </w:tcPr>
          <w:p w14:paraId="2AB4B107">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监督部门：遵义路桥播城工程建设有限公司综合办公室</w:t>
            </w:r>
          </w:p>
          <w:p w14:paraId="6D7D4B5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联系人：张主任</w:t>
            </w:r>
          </w:p>
          <w:p w14:paraId="0D8D84ED">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联系电话：15086089678</w:t>
            </w:r>
          </w:p>
        </w:tc>
      </w:tr>
      <w:tr w14:paraId="6D4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049D9C34">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w:t>
            </w:r>
          </w:p>
        </w:tc>
        <w:tc>
          <w:tcPr>
            <w:tcW w:w="1483" w:type="dxa"/>
            <w:vAlign w:val="center"/>
          </w:tcPr>
          <w:p w14:paraId="76E4D9E9">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解释权</w:t>
            </w:r>
          </w:p>
        </w:tc>
        <w:tc>
          <w:tcPr>
            <w:tcW w:w="7052" w:type="dxa"/>
            <w:vAlign w:val="center"/>
          </w:tcPr>
          <w:p w14:paraId="1A51B947">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构成本</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中有特别规定外，仅适用于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、报价阶段的规定，按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1EC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70" w:type="dxa"/>
            <w:vAlign w:val="center"/>
          </w:tcPr>
          <w:p w14:paraId="71732CC7">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w:t>
            </w:r>
          </w:p>
        </w:tc>
        <w:tc>
          <w:tcPr>
            <w:tcW w:w="1483" w:type="dxa"/>
            <w:vAlign w:val="center"/>
          </w:tcPr>
          <w:p w14:paraId="1BCBB5F7">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代理服务费</w:t>
            </w:r>
          </w:p>
        </w:tc>
        <w:tc>
          <w:tcPr>
            <w:tcW w:w="7052" w:type="dxa"/>
            <w:vAlign w:val="center"/>
          </w:tcPr>
          <w:p w14:paraId="639808F4">
            <w:pPr>
              <w:pStyle w:val="17"/>
              <w:keepNext w:val="0"/>
              <w:keepLines w:val="0"/>
              <w:pageBreakBefore w:val="0"/>
              <w:kinsoku/>
              <w:wordWrap/>
              <w:overflowPunct/>
              <w:topLinePunct w:val="0"/>
              <w:autoSpaceDE/>
              <w:autoSpaceDN/>
              <w:bidi w:val="0"/>
              <w:spacing w:before="37" w:line="500" w:lineRule="exact"/>
              <w:ind w:left="0" w:leftChars="0" w:right="0" w:rightChars="0" w:firstLine="476" w:firstLineChars="200"/>
              <w:jc w:val="both"/>
              <w:textAlignment w:val="auto"/>
              <w:outlineLvl w:val="9"/>
              <w:rPr>
                <w:rFonts w:hint="eastAsia" w:ascii="宋体" w:hAnsi="宋体" w:eastAsia="宋体" w:cs="宋体"/>
                <w:b w:val="0"/>
                <w:bCs w:val="0"/>
                <w:color w:val="auto"/>
                <w:spacing w:val="-1"/>
                <w:highlight w:val="none"/>
                <w:lang w:eastAsia="zh-CN"/>
              </w:rPr>
            </w:pPr>
            <w:r>
              <w:rPr>
                <w:rFonts w:hint="eastAsia" w:ascii="宋体" w:hAnsi="宋体" w:eastAsia="宋体" w:cs="宋体"/>
                <w:b w:val="0"/>
                <w:bCs w:val="0"/>
                <w:color w:val="FF0000"/>
                <w:spacing w:val="-1"/>
                <w:highlight w:val="none"/>
                <w:lang w:val="en-US" w:eastAsia="zh-CN"/>
              </w:rPr>
              <w:t>1</w:t>
            </w:r>
            <w:r>
              <w:rPr>
                <w:rFonts w:hint="eastAsia" w:ascii="宋体" w:hAnsi="宋体" w:eastAsia="宋体" w:cs="宋体"/>
                <w:b w:val="0"/>
                <w:bCs w:val="0"/>
                <w:color w:val="FF0000"/>
                <w:spacing w:val="-1"/>
                <w:highlight w:val="none"/>
              </w:rPr>
              <w:t>、招标代理服务费:本项目代理费由中标人（成交供应商）在收到本通知函三日内或领取本项目中标（成交）通知书的同时一次性支付结清，代理费参照黔价房〔2011〕69号文件下浮率50%计取。</w:t>
            </w:r>
            <w:r>
              <w:rPr>
                <w:rFonts w:hint="eastAsia" w:ascii="宋体" w:hAnsi="宋体" w:eastAsia="宋体" w:cs="宋体"/>
                <w:b/>
                <w:bCs/>
                <w:color w:val="FF0000"/>
                <w:spacing w:val="-1"/>
                <w:highlight w:val="none"/>
                <w:lang w:val="en-US" w:eastAsia="zh-CN"/>
              </w:rPr>
              <w:t>代理服务费3000.00元(含)以下的按3000元收取，50000元（含）以上的按50000元收取。</w:t>
            </w:r>
          </w:p>
          <w:p w14:paraId="6D0DDD2E">
            <w:pPr>
              <w:pStyle w:val="17"/>
              <w:keepNext w:val="0"/>
              <w:keepLines w:val="0"/>
              <w:pageBreakBefore w:val="0"/>
              <w:kinsoku/>
              <w:wordWrap/>
              <w:overflowPunct/>
              <w:topLinePunct w:val="0"/>
              <w:autoSpaceDE/>
              <w:autoSpaceDN/>
              <w:bidi w:val="0"/>
              <w:spacing w:before="37" w:line="500" w:lineRule="exact"/>
              <w:ind w:left="0" w:leftChars="0" w:right="0" w:rightChars="0" w:firstLine="476" w:firstLineChars="200"/>
              <w:jc w:val="both"/>
              <w:textAlignment w:val="auto"/>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lang w:val="en-US" w:eastAsia="zh-CN"/>
              </w:rPr>
              <w:t>2</w:t>
            </w:r>
            <w:r>
              <w:rPr>
                <w:rFonts w:hint="eastAsia" w:ascii="宋体" w:hAnsi="宋体" w:eastAsia="宋体" w:cs="宋体"/>
                <w:b w:val="0"/>
                <w:bCs w:val="0"/>
                <w:color w:val="FF0000"/>
                <w:spacing w:val="-1"/>
                <w:highlight w:val="none"/>
              </w:rPr>
              <w:t>、招标代理费收取方式：银行转账</w:t>
            </w:r>
          </w:p>
          <w:p w14:paraId="4E4FC3B9">
            <w:pPr>
              <w:pStyle w:val="17"/>
              <w:keepNext w:val="0"/>
              <w:keepLines w:val="0"/>
              <w:pageBreakBefore w:val="0"/>
              <w:kinsoku/>
              <w:wordWrap/>
              <w:overflowPunct/>
              <w:topLinePunct w:val="0"/>
              <w:autoSpaceDE/>
              <w:autoSpaceDN/>
              <w:bidi w:val="0"/>
              <w:spacing w:before="37" w:line="500" w:lineRule="exact"/>
              <w:ind w:left="0" w:leftChars="0" w:right="0" w:rightChars="0" w:firstLine="476" w:firstLineChars="200"/>
              <w:jc w:val="both"/>
              <w:textAlignment w:val="auto"/>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rPr>
              <w:t>开户银行：中国农业银行股份有限公司遵义新华支行</w:t>
            </w:r>
          </w:p>
          <w:p w14:paraId="6A13B0D4">
            <w:pPr>
              <w:pStyle w:val="17"/>
              <w:keepNext w:val="0"/>
              <w:keepLines w:val="0"/>
              <w:pageBreakBefore w:val="0"/>
              <w:kinsoku/>
              <w:wordWrap/>
              <w:overflowPunct/>
              <w:topLinePunct w:val="0"/>
              <w:autoSpaceDE/>
              <w:autoSpaceDN/>
              <w:bidi w:val="0"/>
              <w:spacing w:before="37" w:line="500" w:lineRule="exact"/>
              <w:ind w:left="0" w:leftChars="0" w:right="0" w:rightChars="0" w:firstLine="476" w:firstLineChars="200"/>
              <w:jc w:val="both"/>
              <w:textAlignment w:val="auto"/>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rPr>
              <w:t>账号：23430001040008532</w:t>
            </w:r>
          </w:p>
          <w:p w14:paraId="471FFAD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476" w:firstLineChars="200"/>
              <w:jc w:val="both"/>
              <w:textAlignment w:val="auto"/>
              <w:rPr>
                <w:rFonts w:hint="eastAsia" w:ascii="宋体" w:hAnsi="宋体" w:eastAsia="宋体" w:cs="宋体"/>
                <w:color w:val="auto"/>
                <w:highlight w:val="none"/>
              </w:rPr>
            </w:pPr>
            <w:r>
              <w:rPr>
                <w:rFonts w:hint="eastAsia" w:ascii="宋体" w:hAnsi="宋体" w:eastAsia="宋体" w:cs="宋体"/>
                <w:b w:val="0"/>
                <w:bCs w:val="0"/>
                <w:color w:val="FF0000"/>
                <w:spacing w:val="-1"/>
                <w:highlight w:val="none"/>
              </w:rPr>
              <w:t>收款及开票单位：遵义交科工程检测有限公司</w:t>
            </w:r>
          </w:p>
        </w:tc>
      </w:tr>
      <w:tr w14:paraId="5B0D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70" w:type="dxa"/>
            <w:vAlign w:val="center"/>
          </w:tcPr>
          <w:p w14:paraId="2D313851">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w:t>
            </w:r>
          </w:p>
        </w:tc>
        <w:tc>
          <w:tcPr>
            <w:tcW w:w="1483" w:type="dxa"/>
            <w:vAlign w:val="center"/>
          </w:tcPr>
          <w:p w14:paraId="50343958">
            <w:pPr>
              <w:keepNext w:val="0"/>
              <w:keepLines w:val="0"/>
              <w:pageBreakBefore w:val="0"/>
              <w:kinsoku/>
              <w:wordWrap/>
              <w:overflowPunct/>
              <w:topLinePunct w:val="0"/>
              <w:autoSpaceDE w:val="0"/>
              <w:autoSpaceDN w:val="0"/>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商务要求</w:t>
            </w:r>
          </w:p>
        </w:tc>
        <w:tc>
          <w:tcPr>
            <w:tcW w:w="7052" w:type="dxa"/>
            <w:vAlign w:val="center"/>
          </w:tcPr>
          <w:p w14:paraId="5C68A50E">
            <w:pPr>
              <w:keepNext w:val="0"/>
              <w:keepLines w:val="0"/>
              <w:pageBreakBefore w:val="0"/>
              <w:widowControl/>
              <w:kinsoku/>
              <w:wordWrap/>
              <w:overflowPunct/>
              <w:topLinePunct w:val="0"/>
              <w:bidi w:val="0"/>
              <w:spacing w:line="500" w:lineRule="exact"/>
              <w:ind w:left="0" w:leftChars="0" w:right="0" w:rightChars="0"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1.合同类型：</w:t>
            </w:r>
            <w:r>
              <w:rPr>
                <w:rFonts w:hint="eastAsia" w:ascii="宋体" w:hAnsi="宋体" w:eastAsia="宋体" w:cs="宋体"/>
                <w:color w:val="auto"/>
                <w:kern w:val="0"/>
                <w:highlight w:val="none"/>
                <w:lang w:eastAsia="zh-CN"/>
              </w:rPr>
              <w:t>单</w:t>
            </w:r>
            <w:r>
              <w:rPr>
                <w:rFonts w:hint="eastAsia" w:ascii="宋体" w:hAnsi="宋体" w:eastAsia="宋体" w:cs="宋体"/>
                <w:color w:val="auto"/>
                <w:kern w:val="0"/>
                <w:highlight w:val="none"/>
              </w:rPr>
              <w:t>价合同</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最终以核算工程量据实结算</w:t>
            </w:r>
            <w:r>
              <w:rPr>
                <w:rFonts w:hint="eastAsia" w:ascii="宋体" w:hAnsi="宋体" w:eastAsia="宋体" w:cs="宋体"/>
                <w:color w:val="auto"/>
                <w:kern w:val="0"/>
                <w:highlight w:val="none"/>
              </w:rPr>
              <w:t>；</w:t>
            </w:r>
          </w:p>
          <w:p w14:paraId="3E8AE796">
            <w:pPr>
              <w:keepNext w:val="0"/>
              <w:keepLines w:val="0"/>
              <w:pageBreakBefore w:val="0"/>
              <w:widowControl/>
              <w:kinsoku/>
              <w:wordWrap/>
              <w:overflowPunct/>
              <w:topLinePunct w:val="0"/>
              <w:bidi w:val="0"/>
              <w:spacing w:line="500" w:lineRule="exact"/>
              <w:ind w:left="0" w:leftChars="0" w:right="0" w:rightChars="0" w:firstLine="480" w:firstLineChars="200"/>
              <w:jc w:val="both"/>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2.合同文件主要条</w:t>
            </w:r>
            <w:r>
              <w:rPr>
                <w:rFonts w:hint="eastAsia" w:ascii="宋体" w:hAnsi="宋体" w:eastAsia="宋体" w:cs="宋体"/>
                <w:color w:val="auto"/>
                <w:kern w:val="0"/>
                <w:highlight w:val="none"/>
                <w:lang w:eastAsia="zh-CN"/>
              </w:rPr>
              <w:t>款</w:t>
            </w:r>
          </w:p>
          <w:p w14:paraId="03C51936">
            <w:pPr>
              <w:keepNext w:val="0"/>
              <w:keepLines w:val="0"/>
              <w:pageBreakBefore w:val="0"/>
              <w:kinsoku/>
              <w:wordWrap/>
              <w:overflowPunct/>
              <w:topLinePunct w:val="0"/>
              <w:bidi w:val="0"/>
              <w:spacing w:line="500" w:lineRule="exact"/>
              <w:ind w:left="0" w:leftChars="0" w:right="0" w:rightChars="0" w:firstLine="480" w:firstLineChars="200"/>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工期</w:t>
            </w:r>
            <w:r>
              <w:rPr>
                <w:rFonts w:hint="eastAsia" w:ascii="宋体" w:hAnsi="宋体" w:eastAsia="宋体" w:cs="宋体"/>
                <w:color w:val="auto"/>
                <w:kern w:val="0"/>
                <w:highlight w:val="none"/>
              </w:rPr>
              <w:t>：</w:t>
            </w:r>
            <w:r>
              <w:rPr>
                <w:rFonts w:hint="eastAsia" w:ascii="宋体" w:hAnsi="宋体" w:eastAsia="宋体" w:cs="宋体"/>
                <w:color w:val="auto"/>
                <w:highlight w:val="none"/>
                <w:lang w:val="en-US" w:eastAsia="zh-CN"/>
              </w:rPr>
              <w:t>以采购人下达的实际通知时间为准</w:t>
            </w:r>
            <w:r>
              <w:rPr>
                <w:rFonts w:hint="eastAsia" w:ascii="宋体" w:hAnsi="宋体" w:eastAsia="宋体" w:cs="宋体"/>
                <w:color w:val="auto"/>
                <w:kern w:val="0"/>
                <w:highlight w:val="none"/>
              </w:rPr>
              <w:t>；</w:t>
            </w:r>
          </w:p>
          <w:p w14:paraId="7DC21C85">
            <w:pPr>
              <w:keepNext w:val="0"/>
              <w:keepLines w:val="0"/>
              <w:pageBreakBefore w:val="0"/>
              <w:widowControl/>
              <w:kinsoku/>
              <w:wordWrap/>
              <w:overflowPunct/>
              <w:topLinePunct w:val="0"/>
              <w:bidi w:val="0"/>
              <w:spacing w:line="500" w:lineRule="exact"/>
              <w:ind w:left="0" w:leftChars="0" w:right="0" w:rightChars="0" w:firstLine="480" w:firstLineChars="200"/>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（2）服务地点：</w:t>
            </w:r>
            <w:r>
              <w:rPr>
                <w:rFonts w:hint="eastAsia" w:ascii="宋体" w:hAnsi="宋体" w:eastAsia="宋体" w:cs="宋体"/>
                <w:color w:val="auto"/>
                <w:kern w:val="0"/>
                <w:highlight w:val="none"/>
                <w:lang w:eastAsia="zh-CN"/>
              </w:rPr>
              <w:t>采购人指定地点</w:t>
            </w:r>
            <w:r>
              <w:rPr>
                <w:rFonts w:hint="eastAsia" w:ascii="宋体" w:hAnsi="宋体" w:eastAsia="宋体" w:cs="宋体"/>
                <w:color w:val="auto"/>
                <w:kern w:val="0"/>
                <w:highlight w:val="none"/>
              </w:rPr>
              <w:t>；</w:t>
            </w:r>
          </w:p>
          <w:p w14:paraId="5A0DCFC8">
            <w:pPr>
              <w:keepNext w:val="0"/>
              <w:keepLines w:val="0"/>
              <w:pageBreakBefore w:val="0"/>
              <w:kinsoku/>
              <w:wordWrap/>
              <w:overflowPunct/>
              <w:topLinePunct w:val="0"/>
              <w:bidi w:val="0"/>
              <w:spacing w:line="500" w:lineRule="exact"/>
              <w:ind w:left="0" w:leftChars="0" w:right="0" w:rightChars="0" w:firstLine="480" w:firstLineChars="200"/>
              <w:jc w:val="both"/>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highlight w:val="none"/>
                <w:lang w:val="en-US" w:eastAsia="zh-CN"/>
              </w:rPr>
              <w:t>（3）（服务）质量要求：满足设计要求，符合国家材料质量检测标准。。</w:t>
            </w:r>
          </w:p>
          <w:p w14:paraId="773F60A0">
            <w:pPr>
              <w:keepNext w:val="0"/>
              <w:keepLines w:val="0"/>
              <w:pageBreakBefore w:val="0"/>
              <w:widowControl/>
              <w:kinsoku/>
              <w:wordWrap/>
              <w:overflowPunct/>
              <w:topLinePunct w:val="0"/>
              <w:bidi w:val="0"/>
              <w:spacing w:line="5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（4）为确保项目正常施工，采购方可根据项目实际情况新增一家或多家供应商同时供应，供应方必须无条件接受，采购方不承担违约责任。</w:t>
            </w:r>
          </w:p>
          <w:p w14:paraId="68A6BCB0">
            <w:pPr>
              <w:keepNext w:val="0"/>
              <w:keepLines w:val="0"/>
              <w:pageBreakBefore w:val="0"/>
              <w:widowControl/>
              <w:kinsoku/>
              <w:wordWrap/>
              <w:overflowPunct/>
              <w:topLinePunct w:val="0"/>
              <w:bidi w:val="0"/>
              <w:spacing w:line="500" w:lineRule="exact"/>
              <w:ind w:left="0" w:leftChars="0" w:right="0" w:rightChars="0" w:firstLine="480" w:firstLineChars="200"/>
              <w:jc w:val="both"/>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（5）支付方式：</w:t>
            </w:r>
            <w:r>
              <w:rPr>
                <w:rFonts w:hint="eastAsia" w:ascii="宋体" w:hAnsi="宋体" w:eastAsia="宋体" w:cs="宋体"/>
                <w:color w:val="auto"/>
                <w:kern w:val="0"/>
                <w:highlight w:val="yellow"/>
                <w:lang w:val="en-US" w:eastAsia="zh-CN"/>
              </w:rPr>
              <w:t>月结80%，剩余20%下月滚动支付。具体以实际签订合同为准。</w:t>
            </w:r>
          </w:p>
          <w:p w14:paraId="37B79DC0">
            <w:pPr>
              <w:keepNext w:val="0"/>
              <w:keepLines w:val="0"/>
              <w:pageBreakBefore w:val="0"/>
              <w:numPr>
                <w:ilvl w:val="0"/>
                <w:numId w:val="0"/>
              </w:numPr>
              <w:kinsoku/>
              <w:wordWrap/>
              <w:overflowPunct/>
              <w:topLinePunct w:val="0"/>
              <w:autoSpaceDE w:val="0"/>
              <w:autoSpaceDN w:val="0"/>
              <w:bidi w:val="0"/>
              <w:adjustRightInd w:val="0"/>
              <w:snapToGrid w:val="0"/>
              <w:spacing w:line="500" w:lineRule="exact"/>
              <w:ind w:left="0" w:leftChars="0" w:right="0" w:rightChars="0" w:firstLine="480" w:firstLineChars="200"/>
              <w:jc w:val="both"/>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）其他未尽事宜</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具体以合同为准</w:t>
            </w:r>
            <w:r>
              <w:rPr>
                <w:rFonts w:hint="eastAsia" w:ascii="宋体" w:hAnsi="宋体" w:eastAsia="宋体" w:cs="宋体"/>
                <w:color w:val="auto"/>
                <w:kern w:val="0"/>
                <w:highlight w:val="none"/>
                <w:lang w:eastAsia="zh-CN"/>
              </w:rPr>
              <w:t>。</w:t>
            </w:r>
          </w:p>
          <w:p w14:paraId="6B55FBEB">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7）</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0CBE3CB4">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r>
              <w:rPr>
                <w:rFonts w:hint="default" w:ascii="宋体" w:hAnsi="宋体" w:eastAsia="宋体" w:cs="宋体"/>
                <w:color w:val="auto"/>
                <w:kern w:val="0"/>
                <w:sz w:val="24"/>
                <w:szCs w:val="24"/>
                <w:highlight w:val="none"/>
                <w:lang w:val="en-US" w:eastAsia="zh-CN" w:bidi="ar-SA"/>
              </w:rPr>
              <w:t>投标人需自行核对单价与总价的一致性，中标后若发现报价组成有误（单价存在偏差或合计计算有误），将按单价进行修正，修正规则如下：</w:t>
            </w:r>
          </w:p>
          <w:p w14:paraId="0E561DE2">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①若修正后整体合价超过投标总价（即投标函报价），超出部分不计入合同总价，需通过调整分项单价予以修正。</w:t>
            </w:r>
          </w:p>
          <w:p w14:paraId="036B004F">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操作步骤：</w:t>
            </w:r>
          </w:p>
          <w:p w14:paraId="07467D1F">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w:t>
            </w:r>
            <w:r>
              <w:rPr>
                <w:rFonts w:hint="default" w:ascii="宋体" w:hAnsi="宋体" w:eastAsia="宋体" w:cs="宋体"/>
                <w:color w:val="auto"/>
                <w:kern w:val="0"/>
                <w:sz w:val="24"/>
                <w:szCs w:val="24"/>
                <w:highlight w:val="none"/>
                <w:lang w:val="en-US" w:eastAsia="zh-CN" w:bidi="ar-SA"/>
              </w:rPr>
              <w:t>.计算调整系数：调整系数=投标总价÷</w:t>
            </w:r>
            <w:r>
              <w:rPr>
                <w:rFonts w:hint="eastAsia" w:ascii="宋体" w:hAnsi="宋体" w:eastAsia="宋体" w:cs="宋体"/>
                <w:color w:val="auto"/>
                <w:kern w:val="0"/>
                <w:sz w:val="24"/>
                <w:szCs w:val="24"/>
                <w:highlight w:val="none"/>
                <w:lang w:val="en-US" w:eastAsia="zh-CN" w:bidi="ar-SA"/>
              </w:rPr>
              <w:t>栏标</w:t>
            </w:r>
            <w:r>
              <w:rPr>
                <w:rFonts w:hint="default" w:ascii="宋体" w:hAnsi="宋体" w:eastAsia="宋体" w:cs="宋体"/>
                <w:color w:val="auto"/>
                <w:kern w:val="0"/>
                <w:sz w:val="24"/>
                <w:szCs w:val="24"/>
                <w:highlight w:val="none"/>
                <w:lang w:val="en-US" w:eastAsia="zh-CN" w:bidi="ar-SA"/>
              </w:rPr>
              <w:t>总价（系数&lt;1）</w:t>
            </w:r>
            <w:r>
              <w:rPr>
                <w:rFonts w:hint="eastAsia" w:ascii="宋体" w:hAnsi="宋体" w:eastAsia="宋体" w:cs="宋体"/>
                <w:color w:val="auto"/>
                <w:kern w:val="0"/>
                <w:sz w:val="24"/>
                <w:szCs w:val="24"/>
                <w:highlight w:val="none"/>
                <w:lang w:val="en-US" w:eastAsia="zh-CN" w:bidi="ar-SA"/>
              </w:rPr>
              <w:t>。</w:t>
            </w:r>
          </w:p>
          <w:p w14:paraId="0360857C">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w:t>
            </w:r>
            <w:r>
              <w:rPr>
                <w:rFonts w:hint="default" w:ascii="宋体" w:hAnsi="宋体" w:eastAsia="宋体" w:cs="宋体"/>
                <w:color w:val="auto"/>
                <w:kern w:val="0"/>
                <w:sz w:val="24"/>
                <w:szCs w:val="24"/>
                <w:highlight w:val="none"/>
                <w:lang w:val="en-US" w:eastAsia="zh-CN" w:bidi="ar-SA"/>
              </w:rPr>
              <w:t>.修正后各分项单价=</w:t>
            </w:r>
            <w:r>
              <w:rPr>
                <w:rFonts w:hint="eastAsia" w:ascii="宋体" w:hAnsi="宋体" w:eastAsia="宋体" w:cs="宋体"/>
                <w:color w:val="auto"/>
                <w:kern w:val="0"/>
                <w:sz w:val="24"/>
                <w:szCs w:val="24"/>
                <w:highlight w:val="none"/>
                <w:lang w:val="en-US" w:eastAsia="zh-CN" w:bidi="ar-SA"/>
              </w:rPr>
              <w:t>栏标各项</w:t>
            </w:r>
            <w:r>
              <w:rPr>
                <w:rFonts w:hint="default" w:ascii="宋体" w:hAnsi="宋体" w:eastAsia="宋体" w:cs="宋体"/>
                <w:color w:val="auto"/>
                <w:kern w:val="0"/>
                <w:sz w:val="24"/>
                <w:szCs w:val="24"/>
                <w:highlight w:val="none"/>
                <w:lang w:val="en-US" w:eastAsia="zh-CN" w:bidi="ar-SA"/>
              </w:rPr>
              <w:t>单价×调整系数</w:t>
            </w:r>
            <w:r>
              <w:rPr>
                <w:rFonts w:hint="eastAsia" w:ascii="宋体" w:hAnsi="宋体" w:eastAsia="宋体" w:cs="宋体"/>
                <w:color w:val="auto"/>
                <w:kern w:val="0"/>
                <w:sz w:val="24"/>
                <w:szCs w:val="24"/>
                <w:highlight w:val="none"/>
                <w:lang w:val="en-US" w:eastAsia="zh-CN" w:bidi="ar-SA"/>
              </w:rPr>
              <w:t>。</w:t>
            </w:r>
          </w:p>
          <w:p w14:paraId="634C916B">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w:t>
            </w:r>
            <w:r>
              <w:rPr>
                <w:rFonts w:hint="default" w:ascii="宋体" w:hAnsi="宋体" w:eastAsia="宋体" w:cs="宋体"/>
                <w:color w:val="auto"/>
                <w:kern w:val="0"/>
                <w:sz w:val="24"/>
                <w:szCs w:val="24"/>
                <w:highlight w:val="none"/>
                <w:lang w:val="en-US" w:eastAsia="zh-CN" w:bidi="ar-SA"/>
              </w:rPr>
              <w:t>.重新计算合价，确保修正后总价与投标总价一致</w:t>
            </w:r>
            <w:r>
              <w:rPr>
                <w:rFonts w:hint="eastAsia" w:ascii="宋体" w:hAnsi="宋体" w:eastAsia="宋体" w:cs="宋体"/>
                <w:color w:val="auto"/>
                <w:kern w:val="0"/>
                <w:sz w:val="24"/>
                <w:szCs w:val="24"/>
                <w:highlight w:val="none"/>
                <w:lang w:val="en-US" w:eastAsia="zh-CN" w:bidi="ar-SA"/>
              </w:rPr>
              <w:t>。</w:t>
            </w:r>
          </w:p>
          <w:p w14:paraId="31900719">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合同条款中应明确：“**部分单价已按等比例系数**调整，结算时按调整后单价×实际工程量执行。</w:t>
            </w:r>
          </w:p>
          <w:p w14:paraId="47D68D1C">
            <w:pPr>
              <w:pStyle w:val="17"/>
              <w:keepNext w:val="0"/>
              <w:keepLines w:val="0"/>
              <w:pageBreakBefore w:val="0"/>
              <w:widowControl w:val="0"/>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②若修正后整体总价小于投标总价（即投标函报价），合同签约总价为修正后总价。</w:t>
            </w:r>
          </w:p>
          <w:p w14:paraId="6C7D3EF3">
            <w:pPr>
              <w:pStyle w:val="17"/>
              <w:keepNext w:val="0"/>
              <w:keepLines w:val="0"/>
              <w:pageBreakBefore w:val="0"/>
              <w:widowControl w:val="0"/>
              <w:numPr>
                <w:ilvl w:val="0"/>
                <w:numId w:val="0"/>
              </w:numPr>
              <w:kinsoku/>
              <w:wordWrap/>
              <w:overflowPunct/>
              <w:topLinePunct w:val="0"/>
              <w:autoSpaceDE/>
              <w:autoSpaceDN/>
              <w:bidi w:val="0"/>
              <w:spacing w:before="52" w:line="500" w:lineRule="exact"/>
              <w:ind w:left="0" w:leftChars="0" w:right="0" w:rightChars="0" w:firstLine="480" w:firstLineChars="200"/>
              <w:jc w:val="both"/>
              <w:textAlignment w:val="auto"/>
              <w:outlineLvl w:val="9"/>
              <w:rPr>
                <w:rFonts w:hint="eastAsia" w:ascii="宋体" w:hAnsi="宋体" w:eastAsia="宋体" w:cs="宋体"/>
                <w:b w:val="0"/>
                <w:bCs w:val="0"/>
                <w:color w:val="auto"/>
                <w:kern w:val="0"/>
                <w:highlight w:val="none"/>
                <w:lang w:val="en-US" w:eastAsia="zh-CN"/>
              </w:rPr>
            </w:pPr>
            <w:r>
              <w:rPr>
                <w:rFonts w:hint="eastAsia" w:ascii="宋体" w:hAnsi="宋体" w:eastAsia="宋体" w:cs="宋体"/>
                <w:b w:val="0"/>
                <w:bCs w:val="0"/>
                <w:color w:val="auto"/>
                <w:kern w:val="0"/>
                <w:sz w:val="24"/>
                <w:szCs w:val="24"/>
                <w:lang w:val="en-US" w:eastAsia="zh-CN" w:bidi="ar-SA"/>
              </w:rPr>
              <w:t>（9）</w:t>
            </w:r>
            <w:r>
              <w:rPr>
                <w:rFonts w:hint="eastAsia" w:ascii="宋体" w:hAnsi="宋体" w:eastAsia="宋体" w:cs="宋体"/>
                <w:b w:val="0"/>
                <w:bCs w:val="0"/>
                <w:color w:val="auto"/>
                <w:kern w:val="0"/>
                <w:highlight w:val="none"/>
                <w:lang w:val="en-US" w:eastAsia="zh-CN"/>
              </w:rPr>
              <w:t>签订合同时发现部分单价超过栏标单价（限制单价），超过部分不计入合同总价，签订合同时以拦标单价修正后签订合同。</w:t>
            </w:r>
          </w:p>
          <w:p w14:paraId="23FD15DD">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供应商所提供的响应文件（包括一切技术资料、技术承诺、商务承诺等）均应真实有效，若在项目采购过程中（包括响应报价、中标公示过程）及履行合同期间（包括验收、使用过程）发现你公司服务与投标响应（文件）不一致，提供了不真实的响应文件（虚假材料），我司可以作出取消你司成交资格、罚没保证金等决定，你司不得有异议。</w:t>
            </w:r>
          </w:p>
          <w:p w14:paraId="2579EE42">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jc w:val="both"/>
              <w:textAlignment w:val="auto"/>
              <w:outlineLvl w:val="9"/>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yellow"/>
                <w:lang w:val="en-US" w:eastAsia="zh-CN"/>
              </w:rPr>
              <w:t>（11）其他要求：最小层压壁厚，环刚度，环柔性，落锤冲击试验，烘箱试验，0IT氧化诱导时间，达到检测标准。</w:t>
            </w:r>
          </w:p>
        </w:tc>
      </w:tr>
    </w:tbl>
    <w:p w14:paraId="5CE5F857">
      <w:pPr>
        <w:widowControl/>
        <w:adjustRightInd w:val="0"/>
        <w:snapToGrid w:val="0"/>
        <w:spacing w:line="324" w:lineRule="auto"/>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br w:type="page"/>
      </w:r>
      <w:r>
        <w:rPr>
          <w:rFonts w:hint="eastAsia" w:ascii="宋体" w:hAnsi="宋体" w:eastAsia="宋体" w:cs="宋体"/>
          <w:b/>
          <w:bCs/>
          <w:color w:val="auto"/>
          <w:kern w:val="0"/>
          <w:highlight w:val="none"/>
        </w:rPr>
        <w:t>1．总则</w:t>
      </w:r>
    </w:p>
    <w:p w14:paraId="5197125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1.1 项目概况 </w:t>
      </w:r>
    </w:p>
    <w:p w14:paraId="6799083E">
      <w:pPr>
        <w:widowControl/>
        <w:ind w:firstLine="48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因本项目属于非依法招标项目，将执行《省国资委关于进一步规范监管企业采购行为的通知》 （黔国资通法规[2022]49 号）、省国资委关于印发《贵州省国资委监管企业货物服务采购管理办法 （试行）》的通知（黔国资通法规[2022]47 号）等相关法律法规并结合征集人实际需求制定本文件。</w:t>
      </w:r>
    </w:p>
    <w:p w14:paraId="3C576CD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1.1.2 本采购项目采购人：见供应商须知前附表。 </w:t>
      </w:r>
    </w:p>
    <w:p w14:paraId="3170256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1.1.3 本项目招标代理机构：见供应商须知前附表。 </w:t>
      </w:r>
    </w:p>
    <w:p w14:paraId="758339F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1.1.4 本项目名称：见供应商须知前附表。 </w:t>
      </w:r>
    </w:p>
    <w:p w14:paraId="3E26EBB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1.1.5 本项目地点：见供应商须知前附表。 </w:t>
      </w:r>
    </w:p>
    <w:p w14:paraId="781B194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1.2 资金来源和落实情况 </w:t>
      </w:r>
    </w:p>
    <w:p w14:paraId="1AC0273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1.2.1 本项目预算：见供应商须知前附表。 </w:t>
      </w:r>
    </w:p>
    <w:p w14:paraId="4062047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1.2.2 本项目的资金来源：见供应商须知前附表。 </w:t>
      </w:r>
    </w:p>
    <w:p w14:paraId="69E542F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1.2.3 本项目的资金落实情况：见供应商须知前附表。 </w:t>
      </w:r>
    </w:p>
    <w:p w14:paraId="50EF399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1.3 招标范围、服务期和质量和要求 </w:t>
      </w:r>
    </w:p>
    <w:p w14:paraId="465FCC4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1.3.1 本次采购内容及范围：见供应商须知前附表。 </w:t>
      </w:r>
    </w:p>
    <w:p w14:paraId="76310CD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1.3.2 本项目的工期：见供应商须知前附表。 </w:t>
      </w:r>
    </w:p>
    <w:p w14:paraId="6CC7313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1.3.3 本项目的服务要求：见供应商须知前附表。 </w:t>
      </w:r>
    </w:p>
    <w:p w14:paraId="21B2B47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1.4 服务单位资格要求 </w:t>
      </w:r>
    </w:p>
    <w:p w14:paraId="25525E3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1.4.1 服务单位应具备资质条件：见供应商须知前附表； </w:t>
      </w:r>
    </w:p>
    <w:p w14:paraId="0071CA7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1.4.2 服务单位应具备其它要求：见供应商须知前附表； </w:t>
      </w:r>
    </w:p>
    <w:p w14:paraId="4201589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1.4.3 该项目是否接受联合体投标：见供应商须知前附表； </w:t>
      </w:r>
    </w:p>
    <w:p w14:paraId="1B7782C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1.4.4 供应商不得存在下列情形之一： </w:t>
      </w:r>
    </w:p>
    <w:p w14:paraId="306063B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(l）为采购人不具有独立法人资格的附属机构（单位）； </w:t>
      </w:r>
    </w:p>
    <w:p w14:paraId="0D6301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(2）为本项目前期准备提供设计或咨询服务的； </w:t>
      </w:r>
    </w:p>
    <w:p w14:paraId="1EB8E8A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(3）被责令停业的； </w:t>
      </w:r>
    </w:p>
    <w:p w14:paraId="64DC526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(4）被暂停或取消投标资格的； </w:t>
      </w:r>
    </w:p>
    <w:p w14:paraId="2E6148C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(5）财产被接管或冻结的； </w:t>
      </w:r>
    </w:p>
    <w:p w14:paraId="02A0C60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(6）在最近三年内有骗取中标或严重违约的。 </w:t>
      </w:r>
    </w:p>
    <w:p w14:paraId="23666C0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1.5 费用承担 </w:t>
      </w:r>
    </w:p>
    <w:p w14:paraId="3034EE03">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1.5.1服务单位准备和参加</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活动发生的费用自理。</w:t>
      </w:r>
    </w:p>
    <w:p w14:paraId="30FC8988">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1.5.2 采购文件费：该项目采购文件免费提供。</w:t>
      </w:r>
    </w:p>
    <w:p w14:paraId="3FAFB5C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1.6 保密 </w:t>
      </w:r>
    </w:p>
    <w:p w14:paraId="427F437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参与本次</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活动的各方应对</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和响应文件中的商业和技术等秘密保密，违者应对由此造成的后果承担法律责任。 </w:t>
      </w:r>
    </w:p>
    <w:p w14:paraId="4F223F6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1.7 语言文字 </w:t>
      </w:r>
    </w:p>
    <w:p w14:paraId="458779D8">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除专用术语外，与招标投标有关的语言均使用中文。必要时专用术语应附有中文注释。 </w:t>
      </w:r>
    </w:p>
    <w:p w14:paraId="21ED4AC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1.8 计量单位 </w:t>
      </w:r>
    </w:p>
    <w:p w14:paraId="38BC441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所有计量均采用中华人民共和国法定计量单位。 </w:t>
      </w:r>
    </w:p>
    <w:p w14:paraId="334CC4F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1.9 踏勘现场 </w:t>
      </w:r>
    </w:p>
    <w:p w14:paraId="6B01EF6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1.9.1 供应商须知前附表规定组织踏勘现场的，采购人按供应商须知前附表规定的时间、 地点组织供应商踏勘项目现场。 </w:t>
      </w:r>
    </w:p>
    <w:p w14:paraId="1C8458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1.9.2 报价单位踏勘现场发生的费用自理。 </w:t>
      </w:r>
    </w:p>
    <w:p w14:paraId="067F33B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1.9.3 除采购人的原因外，供应商自行负责在踏勘现场中所发生的人员伤亡和财产损失。 </w:t>
      </w:r>
    </w:p>
    <w:p w14:paraId="12E5FE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1.9.4 采购人在踏勘现场中介绍的工程场地和相关的周边环境情况，供应商在编制响应文件时参考，采购人不对报价人据此作出的判断和决策负责。 </w:t>
      </w:r>
    </w:p>
    <w:p w14:paraId="5EA6DB7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1.10 投标预备会 </w:t>
      </w:r>
    </w:p>
    <w:p w14:paraId="0816303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1.10.1须知前附表规定不召开投标预备会。 </w:t>
      </w:r>
    </w:p>
    <w:p w14:paraId="7F52C4D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1.10.2 报价人应在须知前附表规定的时间前，以书面形式将提出的问题送达采购人，以便采购人澄清。 </w:t>
      </w:r>
    </w:p>
    <w:p w14:paraId="34703F3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1.10.3 采购人在供应商须知前附表规定的时间内，将对报价人所提问题的澄清，以书面方式通知所有报名的潜在报价人。该澄清内容为</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的组成部分。 </w:t>
      </w:r>
    </w:p>
    <w:p w14:paraId="2E41B3F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1.11 分包 </w:t>
      </w:r>
    </w:p>
    <w:p w14:paraId="782E1AD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不允许。</w:t>
      </w:r>
      <w:r>
        <w:rPr>
          <w:rFonts w:hint="eastAsia" w:ascii="宋体" w:hAnsi="宋体" w:eastAsia="宋体" w:cs="宋体"/>
          <w:b/>
          <w:bCs/>
          <w:color w:val="auto"/>
          <w:kern w:val="0"/>
          <w:highlight w:val="none"/>
        </w:rPr>
        <w:t xml:space="preserve"> </w:t>
      </w:r>
    </w:p>
    <w:p w14:paraId="06CDB4C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2．</w:t>
      </w:r>
      <w:r>
        <w:rPr>
          <w:rFonts w:hint="eastAsia" w:ascii="宋体" w:hAnsi="宋体" w:eastAsia="宋体" w:cs="宋体"/>
          <w:b/>
          <w:bCs/>
          <w:color w:val="auto"/>
          <w:kern w:val="0"/>
          <w:highlight w:val="none"/>
          <w:lang w:eastAsia="zh-CN"/>
        </w:rPr>
        <w:t>谈判采购</w:t>
      </w:r>
      <w:r>
        <w:rPr>
          <w:rFonts w:hint="eastAsia" w:ascii="宋体" w:hAnsi="宋体" w:eastAsia="宋体" w:cs="宋体"/>
          <w:b/>
          <w:bCs/>
          <w:color w:val="auto"/>
          <w:kern w:val="0"/>
          <w:highlight w:val="none"/>
        </w:rPr>
        <w:t xml:space="preserve">文件 </w:t>
      </w:r>
    </w:p>
    <w:p w14:paraId="2ED5897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2.1 </w:t>
      </w:r>
      <w:r>
        <w:rPr>
          <w:rFonts w:hint="eastAsia" w:ascii="宋体" w:hAnsi="宋体" w:eastAsia="宋体" w:cs="宋体"/>
          <w:b/>
          <w:bCs/>
          <w:color w:val="auto"/>
          <w:kern w:val="0"/>
          <w:highlight w:val="none"/>
          <w:lang w:eastAsia="zh-CN"/>
        </w:rPr>
        <w:t>谈判采购</w:t>
      </w:r>
      <w:r>
        <w:rPr>
          <w:rFonts w:hint="eastAsia" w:ascii="宋体" w:hAnsi="宋体" w:eastAsia="宋体" w:cs="宋体"/>
          <w:b/>
          <w:bCs/>
          <w:color w:val="auto"/>
          <w:kern w:val="0"/>
          <w:highlight w:val="none"/>
        </w:rPr>
        <w:t xml:space="preserve">文件的组成 </w:t>
      </w:r>
    </w:p>
    <w:p w14:paraId="79ABF31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本</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包括： </w:t>
      </w:r>
    </w:p>
    <w:p w14:paraId="5B9F37C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公告； </w:t>
      </w:r>
    </w:p>
    <w:p w14:paraId="48871B7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(2）供应商须知； </w:t>
      </w:r>
    </w:p>
    <w:p w14:paraId="56A3D8A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(3）评标办法； </w:t>
      </w:r>
    </w:p>
    <w:p w14:paraId="616F67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(4）合同条款及格式； </w:t>
      </w:r>
    </w:p>
    <w:p w14:paraId="26C10D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(5）项目内容及要求； </w:t>
      </w:r>
    </w:p>
    <w:p w14:paraId="06EA39F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(6）响应文件格式； </w:t>
      </w:r>
    </w:p>
    <w:p w14:paraId="59944F3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(7）供应商须知前附表规定的其他材料。 </w:t>
      </w:r>
    </w:p>
    <w:p w14:paraId="6D20858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3．响应文件 </w:t>
      </w:r>
    </w:p>
    <w:p w14:paraId="76278E8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3.1 响应文件的组成 </w:t>
      </w:r>
    </w:p>
    <w:p w14:paraId="358FD61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3.1.1 响应文件应包括下列内容： </w:t>
      </w:r>
    </w:p>
    <w:p w14:paraId="5F55A030">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1.投标函 </w:t>
      </w:r>
    </w:p>
    <w:p w14:paraId="71A86CF8">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 xml:space="preserve">.法定代表人身份证明 </w:t>
      </w:r>
    </w:p>
    <w:p w14:paraId="024304F8">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 xml:space="preserve">.法定代表人授权委托书 </w:t>
      </w:r>
    </w:p>
    <w:p w14:paraId="454EDA74">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 xml:space="preserve">.投标保证金 </w:t>
      </w:r>
    </w:p>
    <w:p w14:paraId="1D6F2D84">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 xml:space="preserve">.资格审查证明文件 </w:t>
      </w:r>
    </w:p>
    <w:p w14:paraId="5F6E7086">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.商务文件</w:t>
      </w:r>
    </w:p>
    <w:p w14:paraId="205EAF30">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7</w:t>
      </w:r>
      <w:r>
        <w:rPr>
          <w:rFonts w:hint="eastAsia" w:ascii="宋体" w:hAnsi="宋体" w:eastAsia="宋体" w:cs="宋体"/>
          <w:color w:val="auto"/>
          <w:kern w:val="0"/>
          <w:highlight w:val="none"/>
        </w:rPr>
        <w:t>.投标供应商认为有必要提供的其他材料</w:t>
      </w:r>
    </w:p>
    <w:p w14:paraId="581E90E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 xml:space="preserve">.技术方案。 </w:t>
      </w:r>
    </w:p>
    <w:p w14:paraId="1CCFC60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※注：以上内容中要求附的证明材料的复印件均需加盖供应商公章</w:t>
      </w:r>
      <w:r>
        <w:rPr>
          <w:rFonts w:hint="eastAsia" w:ascii="宋体" w:hAnsi="宋体" w:eastAsia="宋体" w:cs="宋体"/>
          <w:color w:val="auto"/>
          <w:kern w:val="0"/>
          <w:highlight w:val="none"/>
        </w:rPr>
        <w:t xml:space="preserve">。 </w:t>
      </w:r>
    </w:p>
    <w:p w14:paraId="1C6CEEF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3.2 投标报价 </w:t>
      </w:r>
    </w:p>
    <w:p w14:paraId="1AB31E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3.2.1 供应商在投标截止时间前可以修改投标函中的投标总报价。此修改须符合本章第4.3款的有关要求。 </w:t>
      </w:r>
    </w:p>
    <w:p w14:paraId="74461F3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3.2.3 </w:t>
      </w:r>
      <w:r>
        <w:rPr>
          <w:rFonts w:hint="eastAsia" w:ascii="宋体" w:hAnsi="宋体" w:eastAsia="宋体" w:cs="宋体"/>
          <w:b/>
          <w:bCs/>
          <w:color w:val="auto"/>
          <w:kern w:val="0"/>
          <w:highlight w:val="none"/>
        </w:rPr>
        <w:t xml:space="preserve">投标报价编制依据主要有： </w:t>
      </w:r>
    </w:p>
    <w:p w14:paraId="7E6933B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（1）采购人提供的招标范围、</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、招标答疑纪要及可能发出的补充说明； </w:t>
      </w:r>
    </w:p>
    <w:p w14:paraId="51BA2E7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（2）省市有关方面的法规、文件以及国家现行验收规范； </w:t>
      </w:r>
    </w:p>
    <w:p w14:paraId="06B3514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3.2.4 投标报价说明 </w:t>
      </w:r>
    </w:p>
    <w:p w14:paraId="3BABFFD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3.2.4.1 采购人对不可预见风险因素造成的误工、或因交通延误工期造成的误工等损失不予补偿，请投标单位将此风险自行考虑列入投标报价中。 </w:t>
      </w:r>
    </w:p>
    <w:p w14:paraId="163D74B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3.2.4.2 供应商可先到项目现场踏勘以充分了解项目位置、情况、道路、以及其它足以影响承包价的情况，任何因忽视或误解项目情况而导致的失误采购人概不负责。 </w:t>
      </w:r>
    </w:p>
    <w:p w14:paraId="238991E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3.3 投标有效期 </w:t>
      </w:r>
    </w:p>
    <w:p w14:paraId="3F370FE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3.3.1 在供应商须知前附表规定的投标有效期内，供应商不得要求撤销或修改其响应文件。 </w:t>
      </w:r>
    </w:p>
    <w:p w14:paraId="25B21B0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3.3.2 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 </w:t>
      </w:r>
    </w:p>
    <w:p w14:paraId="294C045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3.4 投标保证金 </w:t>
      </w:r>
    </w:p>
    <w:p w14:paraId="35BF19C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3.4.1 供应商在递交响应文件的同时，应按供应商须知前附表规定的金额、担保形式规定的投标保证金格式递交投标保证金，并作为其响应文件的组成部分。 </w:t>
      </w:r>
    </w:p>
    <w:p w14:paraId="425B004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3.4.2 供应商不按本章第3.4.1项要求提交投标保证金的，其响应文件作无效标处理。 </w:t>
      </w:r>
    </w:p>
    <w:p w14:paraId="518231A8">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3.4.3 采购人确定中标供应商后5个工作日内，向未中标的供应商退还投标保金。中标人的投标保证金待合同签订后5个工作日内退还。 </w:t>
      </w:r>
    </w:p>
    <w:p w14:paraId="1F4763A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3.4.4 有下列情形之一的，投标保证金将不予退还： </w:t>
      </w:r>
    </w:p>
    <w:p w14:paraId="1B551E1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(1）供应商在规定的投标有效期内撤销或修改其响应文件； </w:t>
      </w:r>
    </w:p>
    <w:p w14:paraId="06E3671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(2）中标人在收到中标通知书后，无正当理由拒签合同协议书； </w:t>
      </w:r>
    </w:p>
    <w:p w14:paraId="7AA8C32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(3）由于供应商的原因致使招标工作无法顺利进行。 </w:t>
      </w:r>
    </w:p>
    <w:p w14:paraId="1F7715C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(4）法律、法规规定的其它情形。</w:t>
      </w:r>
      <w:r>
        <w:rPr>
          <w:rFonts w:hint="eastAsia" w:ascii="宋体" w:hAnsi="宋体" w:eastAsia="宋体" w:cs="宋体"/>
          <w:b/>
          <w:bCs/>
          <w:color w:val="auto"/>
          <w:kern w:val="0"/>
          <w:highlight w:val="none"/>
        </w:rPr>
        <w:t xml:space="preserve"> </w:t>
      </w:r>
    </w:p>
    <w:p w14:paraId="7F5AD57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3.5 资格审查资料 </w:t>
      </w:r>
    </w:p>
    <w:p w14:paraId="7D717777">
      <w:pPr>
        <w:widowControl/>
        <w:ind w:firstLine="482"/>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同投标人（供应商）须知前附表。</w:t>
      </w:r>
    </w:p>
    <w:p w14:paraId="0651B58E">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3.6 备选投标方案</w:t>
      </w:r>
    </w:p>
    <w:p w14:paraId="6D42A6E7">
      <w:pPr>
        <w:widowControl/>
        <w:adjustRightInd w:val="0"/>
        <w:snapToGrid w:val="0"/>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除供应商须知前附表另有规定外，供应商不得递交备选投标方案。 </w:t>
      </w:r>
    </w:p>
    <w:p w14:paraId="26FB4C2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3.7 响应文件的编制 </w:t>
      </w:r>
    </w:p>
    <w:p w14:paraId="093A83F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3.7.1 响应文件应按第六章“响应文件格式”进行编写，如有必要，可以增加附页，作为响应文件的组成部分。其中，投标函在满足</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实质性要求的基础上，可以提出比</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要求更有利于采购人的承诺。 </w:t>
      </w:r>
    </w:p>
    <w:p w14:paraId="120FE01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3.7.2 响应文件应当对</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有关服务期、投标有效期、质量要求、技术标准和要求、招标范围等实质性内容作出响应。 </w:t>
      </w:r>
    </w:p>
    <w:p w14:paraId="2B9428C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3.7.3 响应文件由供应商的法定代表人或其委托代理人签字或盖单位章。委托代理人签字的，响应文件应附法定代表人签署的授权委托书。</w:t>
      </w:r>
    </w:p>
    <w:p w14:paraId="2B33BD4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4．投标 </w:t>
      </w:r>
    </w:p>
    <w:p w14:paraId="5BC40406">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 xml:space="preserve">4.1 响应文件的密封和标记 </w:t>
      </w:r>
    </w:p>
    <w:p w14:paraId="76300837">
      <w:pPr>
        <w:widowControl/>
        <w:ind w:firstLine="482"/>
        <w:rPr>
          <w:rFonts w:hint="default"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lang w:val="en-US" w:eastAsia="zh-CN"/>
        </w:rPr>
        <w:t>根据招标文件要求加密（若需）。</w:t>
      </w:r>
    </w:p>
    <w:p w14:paraId="37DB70C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4.2 响应文件的递交 </w:t>
      </w:r>
    </w:p>
    <w:p w14:paraId="57F3DD0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4.2.1 供应商应在供应商须知前附表规定的投标截止时间前递交响应文件。 </w:t>
      </w:r>
    </w:p>
    <w:p w14:paraId="5F26782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4.2.2 供应商递交响应文件的地点：见供应商须知前附表。 </w:t>
      </w:r>
    </w:p>
    <w:p w14:paraId="31E2FA6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4.2.3 除供应商须知前附表另有规定外，供应商所递交的响应文件不予退还。 </w:t>
      </w:r>
    </w:p>
    <w:p w14:paraId="6ADE003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4.2.4 逾期送达的或者未送达指定地点</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上传平台</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 xml:space="preserve">的响应文件，采购人不予受理。 </w:t>
      </w:r>
    </w:p>
    <w:p w14:paraId="17E9EB1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4.3 响应文件的修改与撤回 </w:t>
      </w:r>
    </w:p>
    <w:p w14:paraId="2918070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4.3.1 在供应商须知前附表规定的投标截止时间前，供应商可以修改或撤回已递交的响应文件，</w:t>
      </w:r>
      <w:r>
        <w:rPr>
          <w:rFonts w:hint="eastAsia" w:ascii="宋体" w:hAnsi="宋体" w:eastAsia="宋体" w:cs="宋体"/>
          <w:color w:val="auto"/>
          <w:kern w:val="0"/>
          <w:highlight w:val="none"/>
          <w:lang w:val="en-US" w:eastAsia="zh-CN"/>
        </w:rPr>
        <w:t>在投标截止时间之前重新提交</w:t>
      </w:r>
      <w:r>
        <w:rPr>
          <w:rFonts w:hint="eastAsia" w:ascii="宋体" w:hAnsi="宋体" w:eastAsia="宋体" w:cs="宋体"/>
          <w:color w:val="auto"/>
          <w:kern w:val="0"/>
          <w:highlight w:val="none"/>
        </w:rPr>
        <w:t xml:space="preserve">。 </w:t>
      </w:r>
    </w:p>
    <w:p w14:paraId="3A6F69E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4.3.2 供应商修改或撤回已递交响应文件的书面通知应按照本章第3.7.3项的要求签字或盖章。 </w:t>
      </w:r>
    </w:p>
    <w:p w14:paraId="42B0BB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5．开标 </w:t>
      </w:r>
    </w:p>
    <w:p w14:paraId="4003785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5.1 开标时间和地点 </w:t>
      </w:r>
    </w:p>
    <w:p w14:paraId="1278FB34">
      <w:pPr>
        <w:widowControl/>
        <w:ind w:firstLine="482"/>
        <w:rPr>
          <w:rFonts w:hint="eastAsia" w:ascii="宋体" w:hAnsi="宋体" w:eastAsia="宋体" w:cs="宋体"/>
          <w:color w:val="0000FF"/>
          <w:spacing w:val="3"/>
          <w:sz w:val="24"/>
          <w:szCs w:val="24"/>
          <w:highlight w:val="none"/>
          <w:lang w:val="en-US" w:eastAsia="zh-CN"/>
        </w:rPr>
      </w:pPr>
      <w:r>
        <w:rPr>
          <w:rFonts w:hint="eastAsia" w:ascii="宋体" w:hAnsi="宋体" w:eastAsia="宋体" w:cs="宋体"/>
          <w:color w:val="0000FF"/>
          <w:spacing w:val="3"/>
          <w:sz w:val="24"/>
          <w:szCs w:val="24"/>
          <w:highlight w:val="none"/>
          <w:lang w:val="en-US" w:eastAsia="zh-CN"/>
        </w:rPr>
        <w:t>见采购公告。</w:t>
      </w:r>
    </w:p>
    <w:p w14:paraId="111A1B9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5.2 开标程序 </w:t>
      </w:r>
    </w:p>
    <w:p w14:paraId="59BC213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主持人按下列程序进行开标： </w:t>
      </w:r>
    </w:p>
    <w:p w14:paraId="00974C34">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7D8EFEA8">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（2）宣读纪律：开标时间到，采购人或代理机构工作人员宣布开标会开始，并宣读开标会会场纪律和注意事项。</w:t>
      </w:r>
    </w:p>
    <w:p w14:paraId="3728144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供应商代表身份验证：核验参加开标会议的供应商代表身份：</w:t>
      </w:r>
    </w:p>
    <w:p w14:paraId="4C8709C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①供应商的法定代表人参加开标会议的：应出示本人身份证（原件及复印件）、法定代表人身份证明原件、营业执照副本复印件加盖单位公章。</w:t>
      </w:r>
    </w:p>
    <w:p w14:paraId="722C7440">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40A23AA3">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4EB4D9C7">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（4）评审流程：评标委员会签到，确认无需回避后，推选一名评标组长，由评标组长按照以下流程组织评标。</w:t>
      </w:r>
    </w:p>
    <w:p w14:paraId="4E4086DA">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（5）初步审查：谈判小组严格依据响应文件所提供的资料，对照《</w:t>
      </w:r>
      <w:r>
        <w:rPr>
          <w:rFonts w:hint="eastAsia" w:ascii="宋体" w:hAnsi="宋体" w:eastAsia="宋体" w:cs="宋体"/>
          <w:color w:val="0000FF"/>
          <w:sz w:val="24"/>
          <w:szCs w:val="24"/>
          <w:highlight w:val="none"/>
          <w:lang w:eastAsia="zh-CN"/>
        </w:rPr>
        <w:t>评标办法前附表</w:t>
      </w:r>
      <w:r>
        <w:rPr>
          <w:rFonts w:hint="eastAsia" w:ascii="宋体" w:hAnsi="宋体" w:eastAsia="宋体" w:cs="宋体"/>
          <w:color w:val="0000FF"/>
          <w:sz w:val="24"/>
          <w:szCs w:val="24"/>
          <w:highlight w:val="none"/>
        </w:rPr>
        <w:t xml:space="preserve">》所列内容对供应商进行资格性审查及符合性审查，审查通过的供应商进入谈判环节。未通过初步审查的响应文件不参与最后报价。通过初步审查的供应商不足三家的，本项目废标，谈判工作结束。 </w:t>
      </w:r>
    </w:p>
    <w:p w14:paraId="41E47945">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（6）通过资格审查、符合性审查的供应商进行第二轮报价（最终报价）。</w:t>
      </w:r>
    </w:p>
    <w:p w14:paraId="6068DAC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注：报价时间为</w:t>
      </w:r>
      <w:r>
        <w:rPr>
          <w:rFonts w:hint="eastAsia" w:ascii="宋体" w:hAnsi="宋体" w:eastAsia="宋体" w:cs="宋体"/>
          <w:color w:val="0000FF"/>
          <w:sz w:val="24"/>
          <w:szCs w:val="24"/>
          <w:highlight w:val="none"/>
          <w:lang w:val="en-US" w:eastAsia="zh-CN"/>
        </w:rPr>
        <w:t>30</w:t>
      </w:r>
      <w:r>
        <w:rPr>
          <w:rFonts w:hint="eastAsia" w:ascii="宋体" w:hAnsi="宋体" w:eastAsia="宋体" w:cs="宋体"/>
          <w:color w:val="0000FF"/>
          <w:sz w:val="24"/>
          <w:szCs w:val="24"/>
          <w:highlight w:val="none"/>
        </w:rPr>
        <w:t>分钟，供应商需在</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0分钟内完成二次报价（最终），未在</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0分钟内完成二次报价（最终）的默认一次报价为二次报价（最终）。</w:t>
      </w:r>
    </w:p>
    <w:p w14:paraId="1C287FC2">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（7）由谈判专家组对供应商所递交的</w:t>
      </w:r>
      <w:r>
        <w:rPr>
          <w:rFonts w:hint="eastAsia" w:ascii="宋体" w:hAnsi="宋体" w:eastAsia="宋体" w:cs="宋体"/>
          <w:color w:val="0000FF"/>
          <w:sz w:val="24"/>
          <w:szCs w:val="24"/>
          <w:highlight w:val="none"/>
          <w:lang w:eastAsia="zh-CN"/>
        </w:rPr>
        <w:t>响应文件及最终报价进行评审和排序</w:t>
      </w:r>
      <w:r>
        <w:rPr>
          <w:rFonts w:hint="eastAsia" w:ascii="宋体" w:hAnsi="宋体" w:eastAsia="宋体" w:cs="宋体"/>
          <w:color w:val="0000FF"/>
          <w:sz w:val="24"/>
          <w:szCs w:val="24"/>
          <w:highlight w:val="none"/>
        </w:rPr>
        <w:t>并汇总评审结果，评标委员会成员须在评标报告上签字确认。</w:t>
      </w:r>
    </w:p>
    <w:p w14:paraId="6F9727ED">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（8）谈判结束：谈判小组出具评审报告并复核无误后，谈判工作结束。待代理机构工作人员收理好响应文件资料专家方可离开谈判区。谈判过程中谈判专家不得擅自离开谈判室或进入其他开评标室。</w:t>
      </w:r>
    </w:p>
    <w:p w14:paraId="7EEC26A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6．评标 </w:t>
      </w:r>
    </w:p>
    <w:p w14:paraId="27A94F8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6.1 资格审查 </w:t>
      </w:r>
    </w:p>
    <w:p w14:paraId="151AF5D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采购人或者采购代理机构应当依法对供应商的资格进行审查。合格供应商不足3家的，不得评标。 </w:t>
      </w:r>
    </w:p>
    <w:p w14:paraId="4086A28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根据前款规定，开标后由采购人或采购代理机构依据</w:t>
      </w:r>
      <w:r>
        <w:rPr>
          <w:rFonts w:hint="eastAsia" w:ascii="宋体" w:hAnsi="宋体" w:eastAsia="宋体" w:cs="宋体"/>
          <w:color w:val="auto"/>
          <w:kern w:val="0"/>
          <w:highlight w:val="none"/>
          <w:lang w:val="en-US" w:eastAsia="zh-CN"/>
        </w:rPr>
        <w:t>供应商须知前附表</w:t>
      </w:r>
      <w:r>
        <w:rPr>
          <w:rFonts w:hint="eastAsia" w:ascii="宋体" w:hAnsi="宋体" w:eastAsia="宋体" w:cs="宋体"/>
          <w:color w:val="auto"/>
          <w:kern w:val="0"/>
          <w:highlight w:val="none"/>
        </w:rPr>
        <w:t>规定对供应商的资格进行审查，以确定其是否具备投标资格。如果供应商不具备投标资格，不能满足</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所规定的资格标准或提供资格证明文件不全的，按无效标处理。 </w:t>
      </w:r>
    </w:p>
    <w:p w14:paraId="232C2042">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 xml:space="preserve">6.2 评标委员会 </w:t>
      </w:r>
    </w:p>
    <w:p w14:paraId="6E5CD06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6.2.1 评标由采购人依法组建的评标委员会负责。评标委员会由采购人代表组成。评标委员会成员人数见供应商须知前附表。 </w:t>
      </w:r>
    </w:p>
    <w:p w14:paraId="3DE39FC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6.2.2 评标委员会成员有下列情形之一的，应当回避： </w:t>
      </w:r>
    </w:p>
    <w:p w14:paraId="57F4110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(1）供应商或供应商的主要负责人的近亲属； </w:t>
      </w:r>
    </w:p>
    <w:p w14:paraId="289B5A2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(2）项目主管部门或者行政监督部门的人员： </w:t>
      </w:r>
    </w:p>
    <w:p w14:paraId="02EC9E1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(3）与供应商有经济利益关系，可能影响对投标公正评审的； </w:t>
      </w:r>
    </w:p>
    <w:p w14:paraId="3517B50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(4）曾因在招标、评标以及其他与招标投标有关活动中从事违法行为而受过行政处罚或刑事处罚的。 </w:t>
      </w:r>
    </w:p>
    <w:p w14:paraId="1B0494D0">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6.3 评标原则 </w:t>
      </w:r>
    </w:p>
    <w:p w14:paraId="42B15AC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评标活动遵循公平、公正、科学和择优的原则。采购人不承诺最低价中标，而且采购人没有义务向未中标人解释未中标原因。 </w:t>
      </w:r>
    </w:p>
    <w:p w14:paraId="78D3964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6.4 评标 </w:t>
      </w:r>
    </w:p>
    <w:p w14:paraId="290500A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评标委员会按照第三章“评标办法”规定的方法、评审因素、标准和程序对响应文件进行评审。第三章“评标办法”没有规定的方法、评审因素和标准，不作为评标依据。 </w:t>
      </w:r>
    </w:p>
    <w:p w14:paraId="63D2B5B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7．合同授予 </w:t>
      </w:r>
    </w:p>
    <w:p w14:paraId="44EAC89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7.1 定标方式 </w:t>
      </w:r>
    </w:p>
    <w:p w14:paraId="6500843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除供应商须知前附表规定评标委员会直接确定成交人外，采购人依据评标委员会推荐的成交候选人确定成交人，评标委员会推荐成交候选人的人数见供应商须知前附表。 </w:t>
      </w:r>
    </w:p>
    <w:p w14:paraId="050E47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7.2 中标通知 </w:t>
      </w:r>
    </w:p>
    <w:p w14:paraId="42945D5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在本章第3.3款规定的投标有效期内，采购人以书面形式向中标人发出成交通知书，同时将成交结果通知未中标的供应商。 </w:t>
      </w:r>
    </w:p>
    <w:p w14:paraId="26CB994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7.3 履约担保：</w:t>
      </w:r>
      <w:r>
        <w:rPr>
          <w:rFonts w:hint="eastAsia" w:ascii="宋体" w:hAnsi="宋体" w:eastAsia="宋体" w:cs="宋体"/>
          <w:color w:val="auto"/>
          <w:kern w:val="0"/>
          <w:highlight w:val="none"/>
        </w:rPr>
        <w:t xml:space="preserve">具体由中标人在与采购人签订合同时约定。 </w:t>
      </w:r>
    </w:p>
    <w:p w14:paraId="14EA57A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7.4 签订合同 </w:t>
      </w:r>
    </w:p>
    <w:p w14:paraId="77556FCD">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7.4.1 采购人和成交人应当自成交通知书发出之日起</w:t>
      </w:r>
      <w:r>
        <w:rPr>
          <w:rFonts w:hint="eastAsia" w:ascii="宋体" w:hAnsi="宋体" w:eastAsia="宋体" w:cs="宋体"/>
          <w:color w:val="auto"/>
          <w:kern w:val="0"/>
          <w:highlight w:val="none"/>
          <w:lang w:val="en-US" w:eastAsia="zh-CN"/>
        </w:rPr>
        <w:t>30</w:t>
      </w:r>
      <w:r>
        <w:rPr>
          <w:rFonts w:hint="eastAsia" w:ascii="宋体" w:hAnsi="宋体" w:eastAsia="宋体" w:cs="宋体"/>
          <w:color w:val="auto"/>
          <w:kern w:val="0"/>
          <w:highlight w:val="none"/>
        </w:rPr>
        <w:t>天内，根据</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和成交人的响应文件订立书面合同。成交人无正当理由拒签合同的，采购人取消其成交资格，给采购人造成的损失的，成交人还应当其予以补偿。 </w:t>
      </w:r>
    </w:p>
    <w:p w14:paraId="2186B47D">
      <w:pPr>
        <w:widowControl/>
        <w:ind w:firstLine="480"/>
        <w:rPr>
          <w:rFonts w:hint="eastAsia" w:ascii="宋体" w:hAnsi="宋体" w:eastAsia="宋体" w:cs="宋体"/>
          <w:color w:val="auto"/>
          <w:kern w:val="0"/>
          <w:highlight w:val="yellow"/>
          <w:lang w:val="en-US" w:eastAsia="zh-CN"/>
        </w:rPr>
      </w:pPr>
      <w:r>
        <w:rPr>
          <w:rFonts w:hint="eastAsia" w:ascii="宋体" w:hAnsi="宋体" w:eastAsia="宋体" w:cs="宋体"/>
          <w:b/>
          <w:bCs/>
          <w:color w:val="auto"/>
          <w:kern w:val="0"/>
          <w:highlight w:val="yellow"/>
          <w:lang w:val="en-US" w:eastAsia="zh-CN"/>
        </w:rPr>
        <w:t>7.5 履约保证金：见供应商须知前附表。</w:t>
      </w:r>
    </w:p>
    <w:p w14:paraId="4EDC242F">
      <w:pPr>
        <w:widowControl/>
        <w:ind w:firstLine="480"/>
        <w:rPr>
          <w:rFonts w:hint="eastAsia" w:ascii="宋体" w:hAnsi="宋体" w:eastAsia="宋体" w:cs="宋体"/>
          <w:color w:val="auto"/>
          <w:kern w:val="0"/>
          <w:highlight w:val="yellow"/>
        </w:rPr>
      </w:pPr>
      <w:r>
        <w:rPr>
          <w:rFonts w:hint="eastAsia" w:ascii="宋体" w:hAnsi="宋体" w:eastAsia="宋体" w:cs="宋体"/>
          <w:color w:val="auto"/>
          <w:kern w:val="0"/>
          <w:highlight w:val="yellow"/>
        </w:rPr>
        <w:t>确定成交的供应商后，由代理机构向其签发《成交通知书》，供应商在接到《成交通知书》领取通知后7个工作日内领取。成交供应商在接到《成交通知书》30 日内与采购人签订合同。</w:t>
      </w:r>
    </w:p>
    <w:p w14:paraId="3FCE5103">
      <w:pPr>
        <w:widowControl/>
        <w:ind w:firstLine="480"/>
        <w:rPr>
          <w:rFonts w:hint="eastAsia" w:ascii="宋体" w:hAnsi="宋体" w:eastAsia="宋体" w:cs="宋体"/>
          <w:color w:val="auto"/>
          <w:kern w:val="0"/>
          <w:highlight w:val="yellow"/>
        </w:rPr>
      </w:pPr>
      <w:r>
        <w:rPr>
          <w:rFonts w:hint="eastAsia" w:ascii="宋体" w:hAnsi="宋体" w:eastAsia="宋体" w:cs="宋体"/>
          <w:color w:val="auto"/>
          <w:kern w:val="0"/>
          <w:highlight w:val="yellow"/>
        </w:rPr>
        <w:t>供应商在招标文件时限内拒绝（未）领取《成交通知书》的，视为自动放弃成交资格，采购人有权追究其相应法律责任。</w:t>
      </w:r>
    </w:p>
    <w:p w14:paraId="420D84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8．重新招标和不再招标 </w:t>
      </w:r>
    </w:p>
    <w:p w14:paraId="4DE01F6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8.1 重新招标 </w:t>
      </w:r>
    </w:p>
    <w:p w14:paraId="73F63AA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有下列情形之一的，采购人将重新招标： </w:t>
      </w:r>
    </w:p>
    <w:p w14:paraId="752B8B2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(1)投标截止时间，供应商少于3个的； </w:t>
      </w:r>
    </w:p>
    <w:p w14:paraId="41A4614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(2)经评标委员会评审后否决所有投标的； </w:t>
      </w:r>
    </w:p>
    <w:p w14:paraId="45B26EE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(3)评标委员会否决不合格报价或者界定为无效报价后因有效投标不足3个使得报价明显缺乏竞争，评标委员会决定否决全部投标的。 </w:t>
      </w:r>
    </w:p>
    <w:p w14:paraId="079EB4E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(4)同意延长投标有效期的供应商少于3个的。 </w:t>
      </w:r>
    </w:p>
    <w:p w14:paraId="0D3C96A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8.2 不再招标 </w:t>
      </w:r>
    </w:p>
    <w:p w14:paraId="19A68F9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重新招标后供应商仍少于3个或者所有投标被否决的，属于必须审批或核准的项目，经原审批或核准部门批准后不再进行招标。 </w:t>
      </w:r>
    </w:p>
    <w:p w14:paraId="22DFE1C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9．纪律要求、投诉、监督、质疑、处罚 </w:t>
      </w:r>
    </w:p>
    <w:p w14:paraId="7BC070E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9.1 对采购人的纪律要求 </w:t>
      </w:r>
    </w:p>
    <w:p w14:paraId="2F01669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采购人不得泄漏招标投标活动中应当保密的情况和资料，不得与供应商串通损害国家利益、社会公共利益或者他人合法权益。 </w:t>
      </w:r>
    </w:p>
    <w:p w14:paraId="4DB5B6F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9.2 对供应商的纪律要求 </w:t>
      </w:r>
    </w:p>
    <w:p w14:paraId="62F65F7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供应商不得相互串通投标或者与采购人串通投标，不得向采购人或者评标委员会成员行贿谋取中标，不得以他人名义投标或者以其他方式弄虚作假骗取中标；供应商不得以任何方式干扰、影响评标工作。 </w:t>
      </w:r>
    </w:p>
    <w:p w14:paraId="5A4DEEF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9.3 对评标委员会成员的纪律要求 </w:t>
      </w:r>
    </w:p>
    <w:p w14:paraId="1919845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不得使用第三章“评标办法”没有规定的评审因素和标准进行评标。 </w:t>
      </w:r>
    </w:p>
    <w:p w14:paraId="7156AF6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9.4 对与评标活动有关的工作人员的纪律要求 </w:t>
      </w:r>
    </w:p>
    <w:p w14:paraId="631189E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 </w:t>
      </w:r>
    </w:p>
    <w:p w14:paraId="51735152">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9.5 投诉</w:t>
      </w:r>
    </w:p>
    <w:p w14:paraId="6C7562C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采购活动的质疑和投诉按《中华人民共和国政府采购法》及《中华人民共和国政府采购法实施条例》的有关规定执行，质疑和投诉范本在中国政府采购网上下载。不使用质疑和投诉范本的，代理机构（采购人）或监督部门不予受理。 </w:t>
      </w:r>
    </w:p>
    <w:p w14:paraId="3A3A8BA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9.5.1 质疑主体： </w:t>
      </w:r>
    </w:p>
    <w:p w14:paraId="78361FA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提出质疑的供应商应当是参加所质疑项目采购活动的供应商，潜在供应商已依法获取其可质疑的采购文件的，可以对该文件提出质疑，对采购文件提出质疑的，应当获取采购文件或者采购文件公告期限届满之日起7个工作日内提出。对中标结果提出质疑的，应当为中标公告发出之日起7个工作日内提出，对开标现场提出质疑的，应当现场提出。 </w:t>
      </w:r>
    </w:p>
    <w:p w14:paraId="0E6A577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9.5.2 递交形式：书面现场递交 </w:t>
      </w:r>
    </w:p>
    <w:p w14:paraId="2BF4E6C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（1）质疑文件以书面形式加盖公章后送达到</w:t>
      </w:r>
      <w:r>
        <w:rPr>
          <w:rFonts w:hint="eastAsia" w:ascii="宋体" w:hAnsi="宋体" w:eastAsia="宋体" w:cs="宋体"/>
          <w:b/>
          <w:bCs/>
          <w:color w:val="auto"/>
          <w:kern w:val="0"/>
          <w:highlight w:val="none"/>
          <w:lang w:eastAsia="zh-CN"/>
        </w:rPr>
        <w:t>遵义交科工程检测有限公司</w:t>
      </w:r>
      <w:r>
        <w:rPr>
          <w:rFonts w:hint="eastAsia" w:ascii="宋体" w:hAnsi="宋体" w:eastAsia="宋体" w:cs="宋体"/>
          <w:b/>
          <w:bCs/>
          <w:color w:val="auto"/>
          <w:kern w:val="0"/>
          <w:highlight w:val="none"/>
        </w:rPr>
        <w:t>（</w:t>
      </w:r>
      <w:r>
        <w:rPr>
          <w:rFonts w:hint="eastAsia" w:ascii="宋体" w:hAnsi="宋体" w:eastAsia="宋体" w:cs="宋体"/>
          <w:b/>
          <w:bCs/>
          <w:color w:val="auto"/>
          <w:kern w:val="0"/>
          <w:highlight w:val="none"/>
          <w:lang w:val="en-US" w:eastAsia="zh-CN"/>
        </w:rPr>
        <w:t>遵义市新蒲新区兴遵西路8号</w:t>
      </w:r>
      <w:r>
        <w:rPr>
          <w:rFonts w:hint="eastAsia" w:ascii="宋体" w:hAnsi="宋体" w:eastAsia="宋体" w:cs="宋体"/>
          <w:b/>
          <w:bCs/>
          <w:color w:val="auto"/>
          <w:kern w:val="0"/>
          <w:highlight w:val="none"/>
        </w:rPr>
        <w:t>）。</w:t>
      </w:r>
    </w:p>
    <w:p w14:paraId="7711508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（2）质疑材料包括营业执照复印件、法人授权委托书，以及《政府采购质疑和投诉办法》要求提供证明材料。（以上资料均须加盖单位公章），未按照本项要求提供资料的，不予接收。 </w:t>
      </w:r>
    </w:p>
    <w:p w14:paraId="4A5C181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9.5.3 领取答疑回复地点</w:t>
      </w:r>
      <w:r>
        <w:rPr>
          <w:rFonts w:hint="eastAsia" w:ascii="宋体" w:hAnsi="宋体" w:eastAsia="宋体" w:cs="宋体"/>
          <w:b/>
          <w:bCs/>
          <w:color w:val="auto"/>
          <w:kern w:val="0"/>
          <w:highlight w:val="none"/>
          <w:lang w:eastAsia="zh-CN"/>
        </w:rPr>
        <w:t>遵义交科工程检测有限公司</w:t>
      </w:r>
      <w:r>
        <w:rPr>
          <w:rFonts w:hint="eastAsia" w:ascii="宋体" w:hAnsi="宋体" w:eastAsia="宋体" w:cs="宋体"/>
          <w:b/>
          <w:bCs/>
          <w:color w:val="auto"/>
          <w:kern w:val="0"/>
          <w:highlight w:val="none"/>
        </w:rPr>
        <w:t>（</w:t>
      </w:r>
      <w:r>
        <w:rPr>
          <w:rFonts w:hint="eastAsia" w:ascii="宋体" w:hAnsi="宋体" w:eastAsia="宋体" w:cs="宋体"/>
          <w:b/>
          <w:bCs/>
          <w:color w:val="auto"/>
          <w:kern w:val="0"/>
          <w:highlight w:val="none"/>
          <w:lang w:val="en-US" w:eastAsia="zh-CN"/>
        </w:rPr>
        <w:t>遵义市新蒲新区兴遵西路8号</w:t>
      </w:r>
      <w:r>
        <w:rPr>
          <w:rFonts w:hint="eastAsia" w:ascii="宋体" w:hAnsi="宋体" w:eastAsia="宋体" w:cs="宋体"/>
          <w:b/>
          <w:bCs/>
          <w:color w:val="auto"/>
          <w:kern w:val="0"/>
          <w:highlight w:val="none"/>
        </w:rPr>
        <w:t>）。</w:t>
      </w:r>
    </w:p>
    <w:p w14:paraId="5D8076D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9.5.4 供应商在法定质疑期内必须一次性提出针对同一采购程序环节的质疑。 </w:t>
      </w:r>
    </w:p>
    <w:p w14:paraId="59F184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9.5.5 根据《政府采购质疑和投诉办法》 第三十七条的规定投诉人在全国范围12 个月内三次以上投诉查无实据的，由财政部门列入不良行为记录名单。 </w:t>
      </w:r>
    </w:p>
    <w:p w14:paraId="5975656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9.5.6 供应商捏造事实、提供虚假材料或者以非法手段取得证明材料进行投诉的，由财政部门列入不良行为记录名单，禁止其1至3年内参加政府采购活动。质疑和投诉事宜严格按中华人民共和国财政部令第94号--采购质疑和投诉办法进行。 </w:t>
      </w:r>
    </w:p>
    <w:p w14:paraId="0E2261F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10．需要补充的其他内容 </w:t>
      </w:r>
    </w:p>
    <w:p w14:paraId="65F5048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10.1 需要补充的其他内容：见供应商须知前附表。 </w:t>
      </w:r>
    </w:p>
    <w:p w14:paraId="1142EA19">
      <w:pPr>
        <w:pStyle w:val="2"/>
        <w:keepNext/>
        <w:keepLines/>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eastAsia" w:ascii="宋体" w:hAnsi="宋体" w:eastAsia="宋体" w:cs="宋体"/>
          <w:b/>
          <w:bCs/>
          <w:color w:val="auto"/>
          <w:kern w:val="0"/>
          <w:sz w:val="31"/>
          <w:szCs w:val="31"/>
          <w:highlight w:val="none"/>
          <w:lang w:val="en-US" w:eastAsia="zh-CN"/>
        </w:rPr>
      </w:pPr>
      <w:bookmarkStart w:id="13" w:name="_Toc15054"/>
      <w:r>
        <w:rPr>
          <w:rFonts w:hint="eastAsia" w:ascii="宋体" w:hAnsi="宋体" w:eastAsia="宋体" w:cs="宋体"/>
          <w:b/>
          <w:bCs/>
          <w:color w:val="auto"/>
          <w:kern w:val="0"/>
          <w:szCs w:val="31"/>
          <w:highlight w:val="none"/>
        </w:rPr>
        <w:br w:type="page"/>
      </w:r>
      <w:bookmarkStart w:id="14" w:name="_Toc120"/>
      <w:r>
        <w:rPr>
          <w:rFonts w:hint="eastAsia" w:ascii="宋体" w:hAnsi="宋体" w:eastAsia="宋体" w:cs="宋体"/>
          <w:b/>
          <w:bCs/>
          <w:color w:val="auto"/>
          <w:kern w:val="0"/>
          <w:sz w:val="31"/>
          <w:szCs w:val="31"/>
          <w:highlight w:val="none"/>
          <w:lang w:val="en-US" w:eastAsia="zh-CN"/>
        </w:rPr>
        <w:t>第三章 评标办法（综合评分法）</w:t>
      </w:r>
      <w:bookmarkEnd w:id="13"/>
      <w:bookmarkEnd w:id="14"/>
    </w:p>
    <w:p w14:paraId="56D8137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一、评标委员会 </w:t>
      </w:r>
    </w:p>
    <w:p w14:paraId="0210286B">
      <w:pPr>
        <w:widowControl/>
        <w:ind w:firstLine="480"/>
        <w:rPr>
          <w:rFonts w:hint="eastAsia" w:ascii="宋体" w:hAnsi="宋体" w:eastAsia="宋体" w:cs="宋体"/>
          <w:color w:val="auto"/>
          <w:highlight w:val="none"/>
        </w:rPr>
      </w:pPr>
      <w:r>
        <w:rPr>
          <w:rFonts w:hint="eastAsia" w:ascii="宋体" w:hAnsi="宋体" w:eastAsia="宋体" w:cs="宋体"/>
          <w:b/>
          <w:bCs/>
          <w:color w:val="auto"/>
          <w:kern w:val="0"/>
          <w:highlight w:val="none"/>
        </w:rPr>
        <w:t>评标委员会由有关技术、经济等方面的专家组成，成员人数应当为</w:t>
      </w:r>
      <w:r>
        <w:rPr>
          <w:rFonts w:hint="eastAsia" w:ascii="宋体" w:hAnsi="宋体" w:eastAsia="宋体" w:cs="宋体"/>
          <w:b/>
          <w:bCs/>
          <w:color w:val="auto"/>
          <w:kern w:val="0"/>
          <w:highlight w:val="none"/>
          <w:lang w:val="en-US" w:eastAsia="zh-CN"/>
        </w:rPr>
        <w:t>3</w:t>
      </w:r>
      <w:r>
        <w:rPr>
          <w:rFonts w:hint="eastAsia" w:ascii="宋体" w:hAnsi="宋体" w:eastAsia="宋体" w:cs="宋体"/>
          <w:b/>
          <w:bCs/>
          <w:color w:val="auto"/>
          <w:kern w:val="0"/>
          <w:highlight w:val="none"/>
        </w:rPr>
        <w:t>人（含）以上的单数</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 xml:space="preserve">其中，技术、经济等方面的专家不得少于成员总数的三分之二。 </w:t>
      </w:r>
    </w:p>
    <w:p w14:paraId="1C77A02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二、评标原则 </w:t>
      </w:r>
    </w:p>
    <w:p w14:paraId="3CBA7A6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1、认真贯彻国家有关政府采购法律、法规和政策，维护国家利益； </w:t>
      </w:r>
    </w:p>
    <w:p w14:paraId="7275759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2、维护采购人的合法利益； </w:t>
      </w:r>
    </w:p>
    <w:p w14:paraId="0467431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3、严格按照</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的要求和条件进行评议； </w:t>
      </w:r>
    </w:p>
    <w:p w14:paraId="4759D55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4、在评标过程中及评标结束后，评标委员会的研究情况和所有供应商的商业秘密都属于保密内容； </w:t>
      </w:r>
    </w:p>
    <w:p w14:paraId="03CE1B90">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三、评标委员会职责 </w:t>
      </w:r>
    </w:p>
    <w:p w14:paraId="6713DC6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1、审查、评价响应文件是否符合</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的商务、技术等实质性要求； </w:t>
      </w:r>
    </w:p>
    <w:p w14:paraId="75765EE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2、要求供应商对响应文件有关事项作出澄清或者说明； </w:t>
      </w:r>
    </w:p>
    <w:p w14:paraId="39BD21C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3、对响应文件进行比较和评价； </w:t>
      </w:r>
    </w:p>
    <w:p w14:paraId="4C77799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4、确定成交候选人名单，以及根据采购人委托直接确定中标人； </w:t>
      </w:r>
    </w:p>
    <w:p w14:paraId="70D814D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5、向采购人、采购代理机构或者有关部门报告评标中发现的违法行为； </w:t>
      </w:r>
    </w:p>
    <w:p w14:paraId="0B352A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6、法律、法规和规章规定的其他义务。 </w:t>
      </w:r>
    </w:p>
    <w:p w14:paraId="55B552E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四、评审专家在政府采购活动中应当遵守以下工作纪律 </w:t>
      </w:r>
    </w:p>
    <w:p w14:paraId="0BE59D4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1、按时参加评审和咨询活动。遇特殊情况不能出席或途中遇阻不能按时参加评审或咨询的，应及时告知。 </w:t>
      </w:r>
    </w:p>
    <w:p w14:paraId="4B82FAD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2、不得参加与自己有利害关系的政府采购项目的评审活动。对与自己有利害关系的评审项目，应主动提出回避。行政监管部门、采购人或采购代理机构也可要求该评审人员回避。 </w:t>
      </w:r>
    </w:p>
    <w:p w14:paraId="6CB560E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 </w:t>
      </w:r>
    </w:p>
    <w:p w14:paraId="49FA162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 </w:t>
      </w:r>
    </w:p>
    <w:p w14:paraId="3673DF7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五、评标程序 </w:t>
      </w:r>
    </w:p>
    <w:p w14:paraId="679B07C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根据财政部对《政府采购货物和服务招标投标管理办法》（财政部令第87号）第四十四条规定：</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采购项目开标结束后，采购人或者采购代理机构应当依法对供应商的资格进行审查。合格供应商不足3家的，不得评标。 </w:t>
      </w:r>
    </w:p>
    <w:p w14:paraId="7CB7F1E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根据前款规定，开标后由采购代理机构依据第二章6.1条规定进行资格审查，以确定其是否具备投标资格。如果供应商不具备投标资格，不能满足</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所规定的资格标准或提供资格证明文件不全的，按无效投标处理。 </w:t>
      </w:r>
    </w:p>
    <w:p w14:paraId="02DCB77D">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采购代理机构资格审查完成后向评标委员会提交资格审查报告。由评标委员会对资格审查合格的供应商进行评审。具体详见下列具体评分标准：</w:t>
      </w:r>
    </w:p>
    <w:p w14:paraId="7BE23565">
      <w:pPr>
        <w:widowControl/>
        <w:ind w:firstLine="0" w:firstLineChars="0"/>
        <w:jc w:val="center"/>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rPr>
        <w:t>评标办法前附表：</w:t>
      </w:r>
    </w:p>
    <w:tbl>
      <w:tblPr>
        <w:tblStyle w:val="12"/>
        <w:tblW w:w="9230" w:type="dxa"/>
        <w:jc w:val="center"/>
        <w:tblLayout w:type="fixed"/>
        <w:tblCellMar>
          <w:top w:w="0" w:type="dxa"/>
          <w:left w:w="0" w:type="dxa"/>
          <w:bottom w:w="0" w:type="dxa"/>
          <w:right w:w="0" w:type="dxa"/>
        </w:tblCellMar>
      </w:tblPr>
      <w:tblGrid>
        <w:gridCol w:w="654"/>
        <w:gridCol w:w="995"/>
        <w:gridCol w:w="659"/>
        <w:gridCol w:w="542"/>
        <w:gridCol w:w="6380"/>
      </w:tblGrid>
      <w:tr w14:paraId="4A357009">
        <w:tblPrEx>
          <w:tblCellMar>
            <w:top w:w="0" w:type="dxa"/>
            <w:left w:w="0" w:type="dxa"/>
            <w:bottom w:w="0" w:type="dxa"/>
            <w:right w:w="0" w:type="dxa"/>
          </w:tblCellMar>
        </w:tblPrEx>
        <w:trPr>
          <w:trHeight w:val="685" w:hRule="atLeast"/>
          <w:jc w:val="center"/>
        </w:trPr>
        <w:tc>
          <w:tcPr>
            <w:tcW w:w="2850" w:type="dxa"/>
            <w:gridSpan w:val="4"/>
            <w:tcBorders>
              <w:top w:val="single" w:color="000000" w:sz="4" w:space="0"/>
              <w:left w:val="single" w:color="000000" w:sz="4" w:space="0"/>
              <w:bottom w:val="single" w:color="000000" w:sz="4" w:space="0"/>
              <w:right w:val="single" w:color="000000" w:sz="4" w:space="0"/>
            </w:tcBorders>
            <w:vAlign w:val="center"/>
          </w:tcPr>
          <w:p w14:paraId="4C18199D">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评审因素</w:t>
            </w:r>
          </w:p>
        </w:tc>
        <w:tc>
          <w:tcPr>
            <w:tcW w:w="6380" w:type="dxa"/>
            <w:tcBorders>
              <w:top w:val="single" w:color="000000" w:sz="4" w:space="0"/>
              <w:left w:val="single" w:color="000000" w:sz="4" w:space="0"/>
              <w:bottom w:val="single" w:color="000000" w:sz="4" w:space="0"/>
              <w:right w:val="single" w:color="000000" w:sz="4" w:space="0"/>
            </w:tcBorders>
            <w:vAlign w:val="center"/>
          </w:tcPr>
          <w:p w14:paraId="277129E2">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评审标准</w:t>
            </w:r>
          </w:p>
        </w:tc>
      </w:tr>
      <w:tr w14:paraId="3B46FC02">
        <w:tblPrEx>
          <w:tblCellMar>
            <w:top w:w="0" w:type="dxa"/>
            <w:left w:w="0" w:type="dxa"/>
            <w:bottom w:w="0" w:type="dxa"/>
            <w:right w:w="0" w:type="dxa"/>
          </w:tblCellMar>
        </w:tblPrEx>
        <w:trPr>
          <w:jc w:val="center"/>
        </w:trPr>
        <w:tc>
          <w:tcPr>
            <w:tcW w:w="654" w:type="dxa"/>
            <w:vMerge w:val="restart"/>
            <w:tcBorders>
              <w:top w:val="single" w:color="000000" w:sz="4" w:space="0"/>
              <w:left w:val="single" w:color="auto" w:sz="4" w:space="0"/>
              <w:right w:val="single" w:color="000000" w:sz="4" w:space="0"/>
            </w:tcBorders>
            <w:vAlign w:val="center"/>
          </w:tcPr>
          <w:p w14:paraId="4F45D233">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资格审查</w:t>
            </w: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626D07FB">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z w:val="24"/>
                <w:szCs w:val="24"/>
                <w:highlight w:val="none"/>
                <w:shd w:val="clear" w:color="auto" w:fill="FFFFFF"/>
              </w:rPr>
              <w:t>具有独立承担民事责任的能力</w:t>
            </w:r>
          </w:p>
        </w:tc>
        <w:tc>
          <w:tcPr>
            <w:tcW w:w="6380" w:type="dxa"/>
            <w:tcBorders>
              <w:top w:val="single" w:color="000000" w:sz="4" w:space="0"/>
              <w:left w:val="single" w:color="000000" w:sz="4" w:space="0"/>
              <w:bottom w:val="single" w:color="000000" w:sz="4" w:space="0"/>
              <w:right w:val="single" w:color="000000" w:sz="4" w:space="0"/>
            </w:tcBorders>
            <w:vAlign w:val="center"/>
          </w:tcPr>
          <w:p w14:paraId="3A1C6352">
            <w:pPr>
              <w:spacing w:line="440" w:lineRule="exact"/>
              <w:ind w:firstLine="240" w:firstLineChars="100"/>
              <w:jc w:val="left"/>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供应商应为中华人民共和国境内具有独立法人资格，持有合法有效的企业法人营业执照或事业单位法人证书（提供营业执照或法人扫描件）</w:t>
            </w:r>
          </w:p>
          <w:p w14:paraId="375A4EEC">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left"/>
              <w:textAlignment w:val="auto"/>
              <w:outlineLvl w:val="9"/>
              <w:rPr>
                <w:rFonts w:hint="eastAsia" w:ascii="宋体" w:hAnsi="宋体" w:eastAsia="宋体" w:cs="宋体"/>
                <w:color w:val="auto"/>
                <w:spacing w:val="2"/>
                <w:position w:val="-3"/>
                <w:sz w:val="24"/>
                <w:szCs w:val="24"/>
                <w:highlight w:val="none"/>
              </w:rPr>
            </w:pPr>
          </w:p>
        </w:tc>
      </w:tr>
      <w:tr w14:paraId="57806941">
        <w:tblPrEx>
          <w:tblCellMar>
            <w:top w:w="0" w:type="dxa"/>
            <w:left w:w="0" w:type="dxa"/>
            <w:bottom w:w="0" w:type="dxa"/>
            <w:right w:w="0" w:type="dxa"/>
          </w:tblCellMar>
        </w:tblPrEx>
        <w:trPr>
          <w:trHeight w:val="1322" w:hRule="atLeast"/>
          <w:jc w:val="center"/>
        </w:trPr>
        <w:tc>
          <w:tcPr>
            <w:tcW w:w="654" w:type="dxa"/>
            <w:vMerge w:val="continue"/>
            <w:tcBorders>
              <w:left w:val="single" w:color="auto" w:sz="4" w:space="0"/>
              <w:right w:val="single" w:color="000000" w:sz="4" w:space="0"/>
            </w:tcBorders>
            <w:vAlign w:val="center"/>
          </w:tcPr>
          <w:p w14:paraId="7DB6EA15">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0602B05">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z w:val="24"/>
                <w:szCs w:val="24"/>
                <w:highlight w:val="none"/>
                <w:shd w:val="clear" w:color="auto" w:fill="FFFFFF"/>
              </w:rPr>
              <w:t>具有履行合同所必需的设备和专业技术能力</w:t>
            </w:r>
          </w:p>
        </w:tc>
        <w:tc>
          <w:tcPr>
            <w:tcW w:w="6380" w:type="dxa"/>
            <w:tcBorders>
              <w:top w:val="single" w:color="000000" w:sz="4" w:space="0"/>
              <w:left w:val="single" w:color="000000" w:sz="4" w:space="0"/>
              <w:bottom w:val="single" w:color="000000" w:sz="4" w:space="0"/>
              <w:right w:val="single" w:color="000000" w:sz="4" w:space="0"/>
            </w:tcBorders>
            <w:vAlign w:val="center"/>
          </w:tcPr>
          <w:p w14:paraId="020EB999">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left"/>
              <w:textAlignment w:val="auto"/>
              <w:outlineLvl w:val="9"/>
              <w:rPr>
                <w:rFonts w:hint="eastAsia" w:ascii="宋体" w:hAnsi="宋体" w:eastAsia="宋体" w:cs="宋体"/>
                <w:b/>
                <w:bCs/>
                <w:color w:val="auto"/>
                <w:sz w:val="24"/>
                <w:szCs w:val="24"/>
                <w:highlight w:val="none"/>
                <w:shd w:val="clear" w:color="auto" w:fill="FFFFFF"/>
              </w:rPr>
            </w:pPr>
            <w:r>
              <w:rPr>
                <w:rFonts w:hint="eastAsia" w:ascii="宋体" w:hAnsi="宋体" w:eastAsia="宋体" w:cs="宋体"/>
                <w:color w:val="000000"/>
                <w:sz w:val="24"/>
                <w:szCs w:val="24"/>
                <w:highlight w:val="none"/>
                <w:u w:val="none"/>
              </w:rPr>
              <w:t>需附投标供应商履约能力承诺书，格式内容详见响应文件格式；</w:t>
            </w:r>
          </w:p>
        </w:tc>
      </w:tr>
      <w:tr w14:paraId="378592C9">
        <w:tblPrEx>
          <w:tblCellMar>
            <w:top w:w="0" w:type="dxa"/>
            <w:left w:w="0" w:type="dxa"/>
            <w:bottom w:w="0" w:type="dxa"/>
            <w:right w:w="0" w:type="dxa"/>
          </w:tblCellMar>
        </w:tblPrEx>
        <w:trPr>
          <w:trHeight w:val="3532" w:hRule="atLeast"/>
          <w:jc w:val="center"/>
        </w:trPr>
        <w:tc>
          <w:tcPr>
            <w:tcW w:w="654" w:type="dxa"/>
            <w:vMerge w:val="continue"/>
            <w:tcBorders>
              <w:left w:val="single" w:color="auto" w:sz="4" w:space="0"/>
              <w:right w:val="single" w:color="000000" w:sz="4" w:space="0"/>
            </w:tcBorders>
            <w:vAlign w:val="center"/>
          </w:tcPr>
          <w:p w14:paraId="181DC774">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AFF2D42">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kern w:val="2"/>
                <w:position w:val="-3"/>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法律、行政法规规定的其他条件</w:t>
            </w:r>
          </w:p>
        </w:tc>
        <w:tc>
          <w:tcPr>
            <w:tcW w:w="6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91419">
            <w:pPr>
              <w:spacing w:line="440" w:lineRule="exact"/>
              <w:ind w:firstLine="240" w:firstLineChars="100"/>
              <w:jc w:val="left"/>
              <w:rPr>
                <w:rFonts w:hint="eastAsia" w:ascii="宋体" w:hAnsi="宋体" w:eastAsia="宋体" w:cs="宋体"/>
                <w:color w:val="auto"/>
                <w:spacing w:val="2"/>
                <w:kern w:val="2"/>
                <w:position w:val="-3"/>
                <w:sz w:val="24"/>
                <w:szCs w:val="24"/>
                <w:highlight w:val="none"/>
                <w:u w:val="none"/>
                <w:lang w:val="en-US" w:eastAsia="zh-CN" w:bidi="ar-SA"/>
              </w:rPr>
            </w:pPr>
            <w:r>
              <w:rPr>
                <w:rFonts w:hint="eastAsia" w:ascii="宋体" w:hAnsi="宋体" w:eastAsia="宋体" w:cs="宋体"/>
                <w:color w:val="000000"/>
                <w:sz w:val="24"/>
                <w:szCs w:val="24"/>
                <w:highlight w:val="none"/>
                <w:u w:val="none"/>
                <w:lang w:eastAsia="zh-CN"/>
              </w:rPr>
              <w:t>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查询时间为本公告发布之日起至响应文件递交截止之日止）；</w:t>
            </w:r>
          </w:p>
        </w:tc>
      </w:tr>
      <w:tr w14:paraId="4AB46FE8">
        <w:tblPrEx>
          <w:tblCellMar>
            <w:top w:w="0" w:type="dxa"/>
            <w:left w:w="0" w:type="dxa"/>
            <w:bottom w:w="0" w:type="dxa"/>
            <w:right w:w="0" w:type="dxa"/>
          </w:tblCellMar>
        </w:tblPrEx>
        <w:trPr>
          <w:trHeight w:val="1461" w:hRule="atLeast"/>
          <w:jc w:val="center"/>
        </w:trPr>
        <w:tc>
          <w:tcPr>
            <w:tcW w:w="654" w:type="dxa"/>
            <w:vMerge w:val="continue"/>
            <w:tcBorders>
              <w:left w:val="single" w:color="auto" w:sz="4" w:space="0"/>
              <w:right w:val="single" w:color="000000" w:sz="4" w:space="0"/>
            </w:tcBorders>
            <w:vAlign w:val="center"/>
          </w:tcPr>
          <w:p w14:paraId="60BD972F">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CDD4034">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rPr>
              <w:t>有依法缴纳税收和社会保障资金的良好记录</w:t>
            </w:r>
          </w:p>
        </w:tc>
        <w:tc>
          <w:tcPr>
            <w:tcW w:w="6380" w:type="dxa"/>
            <w:tcBorders>
              <w:top w:val="single" w:color="auto" w:sz="4" w:space="0"/>
              <w:left w:val="single" w:color="000000" w:sz="4" w:space="0"/>
              <w:bottom w:val="single" w:color="auto" w:sz="4" w:space="0"/>
              <w:right w:val="single" w:color="auto" w:sz="4" w:space="0"/>
            </w:tcBorders>
            <w:shd w:val="clear" w:color="auto" w:fill="auto"/>
            <w:vAlign w:val="center"/>
          </w:tcPr>
          <w:p w14:paraId="3BAFEF15">
            <w:pPr>
              <w:spacing w:line="440" w:lineRule="exact"/>
              <w:ind w:firstLine="240" w:firstLineChars="100"/>
              <w:jc w:val="left"/>
              <w:rPr>
                <w:rFonts w:hint="eastAsia" w:ascii="宋体" w:hAnsi="宋体" w:eastAsia="宋体" w:cs="宋体"/>
                <w:color w:val="auto"/>
                <w:spacing w:val="2"/>
                <w:kern w:val="2"/>
                <w:position w:val="-3"/>
                <w:sz w:val="24"/>
                <w:szCs w:val="24"/>
                <w:highlight w:val="none"/>
                <w:u w:val="none"/>
                <w:lang w:val="en-US" w:eastAsia="zh-CN" w:bidi="ar-SA"/>
              </w:rPr>
            </w:pPr>
            <w:r>
              <w:rPr>
                <w:rFonts w:hint="eastAsia" w:ascii="宋体" w:hAnsi="宋体" w:eastAsia="宋体" w:cs="宋体"/>
                <w:color w:val="000000"/>
                <w:highlight w:val="none"/>
              </w:rPr>
              <w:t>提供2026年任意一个月的纳税证明和社保缴纳证明，或承诺书，加盖供应商单位公章</w:t>
            </w:r>
            <w:r>
              <w:rPr>
                <w:rFonts w:hint="eastAsia" w:ascii="宋体" w:hAnsi="宋体" w:eastAsia="宋体" w:cs="宋体"/>
                <w:color w:val="000000"/>
                <w:sz w:val="24"/>
                <w:szCs w:val="24"/>
                <w:highlight w:val="none"/>
                <w:u w:val="none"/>
                <w:lang w:val="en-US" w:eastAsia="zh-CN"/>
              </w:rPr>
              <w:t>；</w:t>
            </w:r>
          </w:p>
        </w:tc>
      </w:tr>
      <w:tr w14:paraId="01C0BE5E">
        <w:tblPrEx>
          <w:tblCellMar>
            <w:top w:w="0" w:type="dxa"/>
            <w:left w:w="0" w:type="dxa"/>
            <w:bottom w:w="0" w:type="dxa"/>
            <w:right w:w="0" w:type="dxa"/>
          </w:tblCellMar>
        </w:tblPrEx>
        <w:trPr>
          <w:trHeight w:val="1419" w:hRule="atLeast"/>
          <w:jc w:val="center"/>
        </w:trPr>
        <w:tc>
          <w:tcPr>
            <w:tcW w:w="654" w:type="dxa"/>
            <w:vMerge w:val="continue"/>
            <w:tcBorders>
              <w:left w:val="single" w:color="auto" w:sz="4" w:space="0"/>
              <w:right w:val="single" w:color="000000" w:sz="4" w:space="0"/>
            </w:tcBorders>
            <w:vAlign w:val="center"/>
          </w:tcPr>
          <w:p w14:paraId="59C66B8E">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714549CB">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000000"/>
                <w:highlight w:val="none"/>
              </w:rPr>
              <w:t>具有良好的商业信誉和健全的财务会计制度</w:t>
            </w:r>
          </w:p>
        </w:tc>
        <w:tc>
          <w:tcPr>
            <w:tcW w:w="6380" w:type="dxa"/>
            <w:tcBorders>
              <w:top w:val="single" w:color="auto" w:sz="4" w:space="0"/>
              <w:left w:val="single" w:color="000000" w:sz="4" w:space="0"/>
              <w:bottom w:val="single" w:color="000000" w:sz="4" w:space="0"/>
              <w:right w:val="single" w:color="000000" w:sz="4" w:space="0"/>
            </w:tcBorders>
            <w:vAlign w:val="center"/>
          </w:tcPr>
          <w:p w14:paraId="00A8CCC0">
            <w:pPr>
              <w:spacing w:line="440" w:lineRule="exact"/>
              <w:ind w:firstLine="240" w:firstLineChars="100"/>
              <w:jc w:val="left"/>
              <w:rPr>
                <w:rFonts w:hint="eastAsia" w:ascii="宋体" w:hAnsi="宋体" w:eastAsia="宋体" w:cs="宋体"/>
                <w:color w:val="auto"/>
                <w:spacing w:val="2"/>
                <w:position w:val="-3"/>
                <w:sz w:val="24"/>
                <w:szCs w:val="24"/>
                <w:highlight w:val="none"/>
                <w:u w:val="none"/>
                <w:lang w:val="en-US" w:eastAsia="zh-CN"/>
              </w:rPr>
            </w:pPr>
            <w:r>
              <w:rPr>
                <w:rFonts w:hint="eastAsia" w:ascii="宋体" w:hAnsi="宋体" w:eastAsia="宋体" w:cs="宋体"/>
                <w:color w:val="000000"/>
                <w:highlight w:val="none"/>
              </w:rPr>
              <w:t>提供2024年度或2025年度经第三方审计的财务报告或基本开户银行出具和社的资信证明，或承诺书，加盖供应商单位公章</w:t>
            </w:r>
            <w:r>
              <w:rPr>
                <w:rFonts w:hint="eastAsia" w:ascii="宋体" w:hAnsi="宋体" w:eastAsia="宋体" w:cs="宋体"/>
                <w:color w:val="000000"/>
                <w:highlight w:val="none"/>
                <w:lang w:eastAsia="zh-CN"/>
              </w:rPr>
              <w:t>；</w:t>
            </w:r>
          </w:p>
        </w:tc>
      </w:tr>
      <w:tr w14:paraId="32AE0E26">
        <w:tblPrEx>
          <w:tblCellMar>
            <w:top w:w="0" w:type="dxa"/>
            <w:left w:w="0" w:type="dxa"/>
            <w:bottom w:w="0" w:type="dxa"/>
            <w:right w:w="0" w:type="dxa"/>
          </w:tblCellMar>
        </w:tblPrEx>
        <w:trPr>
          <w:trHeight w:val="1419" w:hRule="atLeast"/>
          <w:jc w:val="center"/>
        </w:trPr>
        <w:tc>
          <w:tcPr>
            <w:tcW w:w="654" w:type="dxa"/>
            <w:vMerge w:val="continue"/>
            <w:tcBorders>
              <w:left w:val="single" w:color="auto" w:sz="4" w:space="0"/>
              <w:right w:val="single" w:color="000000" w:sz="4" w:space="0"/>
            </w:tcBorders>
            <w:vAlign w:val="center"/>
          </w:tcPr>
          <w:p w14:paraId="2993A610">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548EC075">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none"/>
              </w:rPr>
              <w:t>参加本次招标活动前三年内，在经营活动中没有违法违规记录</w:t>
            </w:r>
          </w:p>
        </w:tc>
        <w:tc>
          <w:tcPr>
            <w:tcW w:w="6380" w:type="dxa"/>
            <w:tcBorders>
              <w:top w:val="single" w:color="auto" w:sz="4" w:space="0"/>
              <w:left w:val="single" w:color="000000" w:sz="4" w:space="0"/>
              <w:bottom w:val="single" w:color="000000" w:sz="4" w:space="0"/>
              <w:right w:val="single" w:color="000000" w:sz="4" w:space="0"/>
            </w:tcBorders>
            <w:vAlign w:val="center"/>
          </w:tcPr>
          <w:p w14:paraId="558770B5">
            <w:pPr>
              <w:spacing w:line="440" w:lineRule="exact"/>
              <w:ind w:firstLine="240" w:firstLineChars="100"/>
              <w:jc w:val="left"/>
              <w:rPr>
                <w:rFonts w:hint="eastAsia" w:ascii="宋体" w:hAnsi="宋体" w:eastAsia="宋体" w:cs="宋体"/>
                <w:color w:val="000000"/>
                <w:highlight w:val="none"/>
                <w:lang w:eastAsia="zh-CN"/>
              </w:rPr>
            </w:pPr>
            <w:r>
              <w:rPr>
                <w:rFonts w:hint="eastAsia" w:ascii="宋体" w:hAnsi="宋体" w:eastAsia="宋体" w:cs="宋体"/>
                <w:color w:val="000000"/>
                <w:highlight w:val="none"/>
              </w:rPr>
              <w:t>提供参加招标活动前3年内在经营活动中没有重大违法记录的书面声明</w:t>
            </w:r>
            <w:r>
              <w:rPr>
                <w:rFonts w:hint="eastAsia" w:ascii="宋体" w:hAnsi="宋体" w:eastAsia="宋体" w:cs="宋体"/>
                <w:color w:val="000000"/>
                <w:highlight w:val="none"/>
                <w:lang w:eastAsia="zh-CN"/>
              </w:rPr>
              <w:t>；</w:t>
            </w:r>
          </w:p>
        </w:tc>
      </w:tr>
      <w:tr w14:paraId="1562B22A">
        <w:tblPrEx>
          <w:tblCellMar>
            <w:top w:w="0" w:type="dxa"/>
            <w:left w:w="0" w:type="dxa"/>
            <w:bottom w:w="0" w:type="dxa"/>
            <w:right w:w="0" w:type="dxa"/>
          </w:tblCellMar>
        </w:tblPrEx>
        <w:trPr>
          <w:trHeight w:val="1172" w:hRule="atLeast"/>
          <w:jc w:val="center"/>
        </w:trPr>
        <w:tc>
          <w:tcPr>
            <w:tcW w:w="654" w:type="dxa"/>
            <w:vMerge w:val="continue"/>
            <w:tcBorders>
              <w:left w:val="single" w:color="auto" w:sz="4" w:space="0"/>
              <w:bottom w:val="single" w:color="000000" w:sz="4" w:space="0"/>
              <w:right w:val="single" w:color="000000" w:sz="4" w:space="0"/>
            </w:tcBorders>
            <w:vAlign w:val="center"/>
          </w:tcPr>
          <w:p w14:paraId="3D466D72">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45DA50B2">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000000"/>
                <w:highlight w:val="none"/>
              </w:rPr>
            </w:pPr>
            <w:r>
              <w:rPr>
                <w:rFonts w:hint="eastAsia" w:ascii="宋体" w:hAnsi="宋体" w:eastAsia="宋体" w:cs="宋体"/>
                <w:color w:val="000000"/>
                <w:highlight w:val="yellow"/>
              </w:rPr>
              <w:t>特殊资格要求</w:t>
            </w:r>
          </w:p>
        </w:tc>
        <w:tc>
          <w:tcPr>
            <w:tcW w:w="6380" w:type="dxa"/>
            <w:tcBorders>
              <w:top w:val="single" w:color="auto" w:sz="4" w:space="0"/>
              <w:left w:val="single" w:color="000000" w:sz="4" w:space="0"/>
              <w:bottom w:val="single" w:color="000000" w:sz="4" w:space="0"/>
              <w:right w:val="single" w:color="000000" w:sz="4" w:space="0"/>
            </w:tcBorders>
            <w:vAlign w:val="center"/>
          </w:tcPr>
          <w:p w14:paraId="0DCB22ED">
            <w:pPr>
              <w:spacing w:line="440" w:lineRule="exact"/>
              <w:ind w:firstLine="240" w:firstLineChars="100"/>
              <w:jc w:val="left"/>
              <w:rPr>
                <w:rFonts w:hint="eastAsia" w:ascii="宋体" w:hAnsi="宋体" w:eastAsia="宋体" w:cs="宋体"/>
                <w:color w:val="000000"/>
                <w:highlight w:val="none"/>
              </w:rPr>
            </w:pP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w:t>
            </w:r>
          </w:p>
        </w:tc>
      </w:tr>
      <w:tr w14:paraId="6A2DD271">
        <w:tblPrEx>
          <w:tblCellMar>
            <w:top w:w="0" w:type="dxa"/>
            <w:left w:w="0" w:type="dxa"/>
            <w:bottom w:w="0" w:type="dxa"/>
            <w:right w:w="0" w:type="dxa"/>
          </w:tblCellMar>
        </w:tblPrEx>
        <w:trPr>
          <w:jc w:val="center"/>
        </w:trPr>
        <w:tc>
          <w:tcPr>
            <w:tcW w:w="654" w:type="dxa"/>
            <w:vMerge w:val="restart"/>
            <w:tcBorders>
              <w:top w:val="single" w:color="000000" w:sz="4" w:space="0"/>
              <w:left w:val="single" w:color="000000" w:sz="4" w:space="0"/>
              <w:right w:val="single" w:color="000000" w:sz="4" w:space="0"/>
            </w:tcBorders>
            <w:vAlign w:val="center"/>
          </w:tcPr>
          <w:p w14:paraId="3FC41807">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符合性审查</w:t>
            </w: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4BD33B8">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投标函签字盖章</w:t>
            </w:r>
          </w:p>
        </w:tc>
        <w:tc>
          <w:tcPr>
            <w:tcW w:w="6380" w:type="dxa"/>
            <w:tcBorders>
              <w:top w:val="single" w:color="000000" w:sz="4" w:space="0"/>
              <w:left w:val="single" w:color="000000" w:sz="4" w:space="0"/>
              <w:bottom w:val="single" w:color="000000" w:sz="4" w:space="0"/>
              <w:right w:val="single" w:color="000000" w:sz="4" w:space="0"/>
            </w:tcBorders>
            <w:vAlign w:val="center"/>
          </w:tcPr>
          <w:p w14:paraId="334EB39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响应文件按格式要求盖章、签字（或盖章）；</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z w:val="24"/>
                <w:szCs w:val="24"/>
                <w:highlight w:val="none"/>
                <w:lang w:val="en-US" w:eastAsia="zh-CN"/>
              </w:rPr>
              <w:t>可以</w:t>
            </w:r>
            <w:r>
              <w:rPr>
                <w:rFonts w:hint="eastAsia" w:ascii="宋体" w:hAnsi="宋体" w:eastAsia="宋体" w:cs="宋体"/>
                <w:color w:val="auto"/>
                <w:sz w:val="24"/>
                <w:szCs w:val="24"/>
                <w:highlight w:val="none"/>
              </w:rPr>
              <w:t>在签字、盖章完成后扫描，并在投标工具指定位置上传扫描件。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c>
      </w:tr>
      <w:tr w14:paraId="7ACCCFC4">
        <w:tblPrEx>
          <w:tblCellMar>
            <w:top w:w="0" w:type="dxa"/>
            <w:left w:w="0" w:type="dxa"/>
            <w:bottom w:w="0" w:type="dxa"/>
            <w:right w:w="0" w:type="dxa"/>
          </w:tblCellMar>
        </w:tblPrEx>
        <w:trPr>
          <w:trHeight w:val="576" w:hRule="atLeast"/>
          <w:jc w:val="center"/>
        </w:trPr>
        <w:tc>
          <w:tcPr>
            <w:tcW w:w="654" w:type="dxa"/>
            <w:vMerge w:val="continue"/>
            <w:tcBorders>
              <w:left w:val="single" w:color="000000" w:sz="4" w:space="0"/>
              <w:right w:val="single" w:color="000000" w:sz="4" w:space="0"/>
            </w:tcBorders>
            <w:vAlign w:val="center"/>
          </w:tcPr>
          <w:p w14:paraId="437D9378">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350260D8">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响应文件格式</w:t>
            </w:r>
          </w:p>
        </w:tc>
        <w:tc>
          <w:tcPr>
            <w:tcW w:w="6380" w:type="dxa"/>
            <w:tcBorders>
              <w:top w:val="single" w:color="000000" w:sz="4" w:space="0"/>
              <w:left w:val="single" w:color="000000" w:sz="4" w:space="0"/>
              <w:bottom w:val="single" w:color="000000" w:sz="4" w:space="0"/>
              <w:right w:val="single" w:color="000000" w:sz="4" w:space="0"/>
            </w:tcBorders>
            <w:vAlign w:val="center"/>
          </w:tcPr>
          <w:p w14:paraId="36EF44B7">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符合</w:t>
            </w:r>
            <w:r>
              <w:rPr>
                <w:rFonts w:hint="eastAsia" w:ascii="宋体" w:hAnsi="宋体" w:eastAsia="宋体" w:cs="宋体"/>
                <w:color w:val="auto"/>
                <w:spacing w:val="2"/>
                <w:position w:val="-3"/>
                <w:sz w:val="24"/>
                <w:szCs w:val="24"/>
                <w:highlight w:val="none"/>
                <w:lang w:eastAsia="zh-CN"/>
              </w:rPr>
              <w:t>第六</w:t>
            </w:r>
            <w:r>
              <w:rPr>
                <w:rFonts w:hint="eastAsia" w:ascii="宋体" w:hAnsi="宋体" w:eastAsia="宋体" w:cs="宋体"/>
                <w:color w:val="auto"/>
                <w:spacing w:val="2"/>
                <w:position w:val="-3"/>
                <w:sz w:val="24"/>
                <w:szCs w:val="24"/>
                <w:highlight w:val="none"/>
              </w:rPr>
              <w:t>章“响应文件格式”的要求</w:t>
            </w:r>
          </w:p>
        </w:tc>
      </w:tr>
      <w:tr w14:paraId="27A04EB6">
        <w:tblPrEx>
          <w:tblCellMar>
            <w:top w:w="0" w:type="dxa"/>
            <w:left w:w="0" w:type="dxa"/>
            <w:bottom w:w="0" w:type="dxa"/>
            <w:right w:w="0" w:type="dxa"/>
          </w:tblCellMar>
        </w:tblPrEx>
        <w:trPr>
          <w:trHeight w:val="592" w:hRule="atLeast"/>
          <w:jc w:val="center"/>
        </w:trPr>
        <w:tc>
          <w:tcPr>
            <w:tcW w:w="654" w:type="dxa"/>
            <w:vMerge w:val="continue"/>
            <w:tcBorders>
              <w:left w:val="single" w:color="000000" w:sz="4" w:space="0"/>
              <w:right w:val="single" w:color="000000" w:sz="4" w:space="0"/>
            </w:tcBorders>
            <w:vAlign w:val="center"/>
          </w:tcPr>
          <w:p w14:paraId="77F52FFC">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5C1537AA">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投标报价</w:t>
            </w:r>
          </w:p>
        </w:tc>
        <w:tc>
          <w:tcPr>
            <w:tcW w:w="6380" w:type="dxa"/>
            <w:tcBorders>
              <w:top w:val="single" w:color="000000" w:sz="4" w:space="0"/>
              <w:left w:val="single" w:color="000000" w:sz="4" w:space="0"/>
              <w:bottom w:val="single" w:color="000000" w:sz="4" w:space="0"/>
              <w:right w:val="single" w:color="000000" w:sz="4" w:space="0"/>
            </w:tcBorders>
            <w:vAlign w:val="center"/>
          </w:tcPr>
          <w:p w14:paraId="68398D6D">
            <w:pPr>
              <w:adjustRightInd w:val="0"/>
              <w:snapToGrid w:val="0"/>
              <w:spacing w:line="300" w:lineRule="auto"/>
              <w:ind w:left="120" w:leftChars="50" w:firstLine="0" w:firstLineChars="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spacing w:val="2"/>
                <w:position w:val="-3"/>
                <w:sz w:val="24"/>
                <w:szCs w:val="24"/>
                <w:highlight w:val="none"/>
              </w:rPr>
              <w:t>只能有一个有效报价</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lang w:val="en-US" w:eastAsia="zh-CN"/>
              </w:rPr>
              <w:t>不超过最高限价）</w:t>
            </w:r>
          </w:p>
        </w:tc>
      </w:tr>
      <w:tr w14:paraId="3E07F2CB">
        <w:tblPrEx>
          <w:tblCellMar>
            <w:top w:w="0" w:type="dxa"/>
            <w:left w:w="0" w:type="dxa"/>
            <w:bottom w:w="0" w:type="dxa"/>
            <w:right w:w="0" w:type="dxa"/>
          </w:tblCellMar>
        </w:tblPrEx>
        <w:trPr>
          <w:trHeight w:val="452" w:hRule="atLeast"/>
          <w:jc w:val="center"/>
        </w:trPr>
        <w:tc>
          <w:tcPr>
            <w:tcW w:w="654" w:type="dxa"/>
            <w:vMerge w:val="continue"/>
            <w:tcBorders>
              <w:left w:val="single" w:color="000000" w:sz="4" w:space="0"/>
              <w:right w:val="single" w:color="000000" w:sz="4" w:space="0"/>
            </w:tcBorders>
            <w:vAlign w:val="center"/>
          </w:tcPr>
          <w:p w14:paraId="0881A7C5">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1C1A2DBF">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val="en-US" w:eastAsia="zh-CN"/>
              </w:rPr>
              <w:t>工期</w:t>
            </w:r>
          </w:p>
        </w:tc>
        <w:tc>
          <w:tcPr>
            <w:tcW w:w="6380" w:type="dxa"/>
            <w:tcBorders>
              <w:top w:val="single" w:color="000000" w:sz="4" w:space="0"/>
              <w:left w:val="single" w:color="000000" w:sz="4" w:space="0"/>
              <w:bottom w:val="single" w:color="000000" w:sz="4" w:space="0"/>
              <w:right w:val="single" w:color="000000" w:sz="4" w:space="0"/>
            </w:tcBorders>
            <w:vAlign w:val="center"/>
          </w:tcPr>
          <w:p w14:paraId="4452198F">
            <w:pPr>
              <w:ind w:left="0" w:leftChars="0" w:firstLine="0" w:firstLineChars="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highlight w:val="none"/>
                <w:lang w:val="en-US" w:eastAsia="zh-CN"/>
              </w:rPr>
              <w:t>以采购人下达的实际通知时间为准。</w:t>
            </w:r>
          </w:p>
        </w:tc>
      </w:tr>
      <w:tr w14:paraId="5A56B60B">
        <w:tblPrEx>
          <w:tblCellMar>
            <w:top w:w="0" w:type="dxa"/>
            <w:left w:w="0" w:type="dxa"/>
            <w:bottom w:w="0" w:type="dxa"/>
            <w:right w:w="0" w:type="dxa"/>
          </w:tblCellMar>
        </w:tblPrEx>
        <w:trPr>
          <w:trHeight w:val="442" w:hRule="atLeast"/>
          <w:jc w:val="center"/>
        </w:trPr>
        <w:tc>
          <w:tcPr>
            <w:tcW w:w="654" w:type="dxa"/>
            <w:vMerge w:val="continue"/>
            <w:tcBorders>
              <w:left w:val="single" w:color="000000" w:sz="4" w:space="0"/>
              <w:right w:val="single" w:color="000000" w:sz="4" w:space="0"/>
            </w:tcBorders>
            <w:vAlign w:val="center"/>
          </w:tcPr>
          <w:p w14:paraId="6C1EB7D6">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5259AD0A">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rPr>
              <w:t>服务</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lang w:val="en-US" w:eastAsia="zh-CN"/>
              </w:rPr>
              <w:t>质量</w:t>
            </w:r>
            <w:r>
              <w:rPr>
                <w:rFonts w:hint="eastAsia" w:ascii="宋体" w:hAnsi="宋体" w:eastAsia="宋体" w:cs="宋体"/>
                <w:color w:val="auto"/>
                <w:spacing w:val="2"/>
                <w:position w:val="-3"/>
                <w:sz w:val="24"/>
                <w:szCs w:val="24"/>
                <w:highlight w:val="none"/>
              </w:rPr>
              <w:t>要求</w:t>
            </w:r>
          </w:p>
        </w:tc>
        <w:tc>
          <w:tcPr>
            <w:tcW w:w="6380" w:type="dxa"/>
            <w:tcBorders>
              <w:top w:val="single" w:color="000000" w:sz="4" w:space="0"/>
              <w:left w:val="single" w:color="000000" w:sz="4" w:space="0"/>
              <w:bottom w:val="single" w:color="000000" w:sz="4" w:space="0"/>
              <w:right w:val="single" w:color="000000" w:sz="4" w:space="0"/>
            </w:tcBorders>
            <w:vAlign w:val="center"/>
          </w:tcPr>
          <w:p w14:paraId="71E992F0">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highlight w:val="none"/>
                <w:lang w:val="en-US" w:eastAsia="zh-CN"/>
              </w:rPr>
              <w:t>满足设计要求，符合国家材料质量检测标准。</w:t>
            </w:r>
          </w:p>
        </w:tc>
      </w:tr>
      <w:tr w14:paraId="01FAEB12">
        <w:tblPrEx>
          <w:tblCellMar>
            <w:top w:w="0" w:type="dxa"/>
            <w:left w:w="0" w:type="dxa"/>
            <w:bottom w:w="0" w:type="dxa"/>
            <w:right w:w="0" w:type="dxa"/>
          </w:tblCellMar>
        </w:tblPrEx>
        <w:trPr>
          <w:trHeight w:val="485" w:hRule="atLeast"/>
          <w:jc w:val="center"/>
        </w:trPr>
        <w:tc>
          <w:tcPr>
            <w:tcW w:w="654" w:type="dxa"/>
            <w:vMerge w:val="continue"/>
            <w:tcBorders>
              <w:left w:val="single" w:color="000000" w:sz="4" w:space="0"/>
              <w:right w:val="single" w:color="000000" w:sz="4" w:space="0"/>
            </w:tcBorders>
            <w:vAlign w:val="center"/>
          </w:tcPr>
          <w:p w14:paraId="059A8ECD">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34D3279C">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投标有效期</w:t>
            </w:r>
          </w:p>
        </w:tc>
        <w:tc>
          <w:tcPr>
            <w:tcW w:w="6380" w:type="dxa"/>
            <w:tcBorders>
              <w:top w:val="single" w:color="000000" w:sz="4" w:space="0"/>
              <w:left w:val="single" w:color="000000" w:sz="4" w:space="0"/>
              <w:bottom w:val="single" w:color="000000" w:sz="4" w:space="0"/>
              <w:right w:val="single" w:color="000000" w:sz="4" w:space="0"/>
            </w:tcBorders>
            <w:vAlign w:val="center"/>
          </w:tcPr>
          <w:p w14:paraId="4D62F962">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val="en-US" w:eastAsia="zh-CN"/>
              </w:rPr>
              <w:t>90天</w:t>
            </w:r>
            <w:r>
              <w:rPr>
                <w:rFonts w:hint="eastAsia" w:ascii="宋体" w:hAnsi="宋体" w:eastAsia="宋体" w:cs="宋体"/>
                <w:color w:val="auto"/>
                <w:spacing w:val="2"/>
                <w:position w:val="-3"/>
                <w:sz w:val="24"/>
                <w:szCs w:val="24"/>
                <w:highlight w:val="none"/>
              </w:rPr>
              <w:t>（投标截止之日起开始计算）</w:t>
            </w:r>
          </w:p>
        </w:tc>
      </w:tr>
      <w:tr w14:paraId="3430ABBE">
        <w:tblPrEx>
          <w:tblCellMar>
            <w:top w:w="0" w:type="dxa"/>
            <w:left w:w="0" w:type="dxa"/>
            <w:bottom w:w="0" w:type="dxa"/>
            <w:right w:w="0" w:type="dxa"/>
          </w:tblCellMar>
        </w:tblPrEx>
        <w:trPr>
          <w:jc w:val="center"/>
        </w:trPr>
        <w:tc>
          <w:tcPr>
            <w:tcW w:w="1649" w:type="dxa"/>
            <w:gridSpan w:val="2"/>
            <w:tcBorders>
              <w:top w:val="single" w:color="000000" w:sz="4" w:space="0"/>
              <w:left w:val="single" w:color="000000" w:sz="4" w:space="0"/>
              <w:bottom w:val="single" w:color="000000" w:sz="4" w:space="0"/>
              <w:right w:val="single" w:color="000000" w:sz="4" w:space="0"/>
            </w:tcBorders>
            <w:vAlign w:val="center"/>
          </w:tcPr>
          <w:p w14:paraId="19666CC7">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评标基准价</w:t>
            </w:r>
          </w:p>
        </w:tc>
        <w:tc>
          <w:tcPr>
            <w:tcW w:w="7581" w:type="dxa"/>
            <w:gridSpan w:val="3"/>
            <w:tcBorders>
              <w:top w:val="single" w:color="000000" w:sz="4" w:space="0"/>
              <w:left w:val="single" w:color="000000" w:sz="4" w:space="0"/>
              <w:bottom w:val="single" w:color="000000" w:sz="4" w:space="0"/>
              <w:right w:val="single" w:color="000000" w:sz="4" w:space="0"/>
            </w:tcBorders>
            <w:vAlign w:val="center"/>
          </w:tcPr>
          <w:p w14:paraId="41820EBC">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pacing w:val="2"/>
                <w:position w:val="-3"/>
                <w:sz w:val="24"/>
                <w:szCs w:val="24"/>
                <w:highlight w:val="none"/>
                <w:lang w:eastAsia="zh-CN"/>
              </w:rPr>
              <w:t>评审基准价的计算：</w:t>
            </w:r>
          </w:p>
          <w:p w14:paraId="4B4CC8FD">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通过初步评审的供应商(有效最终)报价的算术平均值即为评审基准价。</w:t>
            </w:r>
          </w:p>
          <w:p w14:paraId="44362DA7">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当通过初步评审的供应商数量大于等于5家时：</w:t>
            </w:r>
          </w:p>
          <w:p w14:paraId="4ECB6A42">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去掉一个最高最终报价和一个最低最终报价,剩余通过初步评审的供应商(有效最终)报价的算术平均值即为评审基准价。</w:t>
            </w:r>
          </w:p>
          <w:p w14:paraId="143649E1">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当通过初步评审的供应商数量大于等于9家时：</w:t>
            </w:r>
          </w:p>
          <w:p w14:paraId="0C07B81A">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去掉2个最高最终报价和2个最低最终报价，剩余通过初步评审的供应商(有效最终)报价的算术平均值即为评审基准价。</w:t>
            </w:r>
          </w:p>
          <w:p w14:paraId="46848899">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当通过初步评审的供应商数量大于等于12家时：</w:t>
            </w:r>
          </w:p>
          <w:p w14:paraId="7FD9CEA0">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去掉3个最高最终报价和3个最低最终报价，剩余通过初步评审的供应商(有效最终)报价的算术平均值即为评审基准价。</w:t>
            </w:r>
          </w:p>
          <w:p w14:paraId="122EB5CD">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评审价=响应函大写报价</w:t>
            </w:r>
          </w:p>
          <w:p w14:paraId="532C52AD">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偏差率=100% ×(供应商报价−评审基准价)/评审基准价</w:t>
            </w:r>
          </w:p>
          <w:p w14:paraId="2066D17E">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spacing w:val="2"/>
                <w:position w:val="-3"/>
                <w:highlight w:val="none"/>
              </w:rPr>
              <w:t>偏差率保留两位小数。</w:t>
            </w:r>
            <w:r>
              <w:rPr>
                <w:rFonts w:hint="eastAsia" w:ascii="宋体" w:hAnsi="宋体" w:eastAsia="宋体" w:cs="宋体"/>
                <w:color w:val="auto"/>
                <w:spacing w:val="2"/>
                <w:position w:val="-3"/>
                <w:sz w:val="24"/>
                <w:szCs w:val="24"/>
                <w:highlight w:val="none"/>
                <w:lang w:eastAsia="zh-CN"/>
              </w:rPr>
              <w:t>评审价=响应函大写报价</w:t>
            </w:r>
          </w:p>
          <w:p w14:paraId="40997662">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pacing w:val="2"/>
                <w:position w:val="-3"/>
                <w:sz w:val="24"/>
                <w:szCs w:val="24"/>
                <w:highlight w:val="none"/>
                <w:lang w:eastAsia="zh-CN"/>
              </w:rPr>
              <w:t>偏差率=100% ×(供应商报价−评审基准价)/评审基准价</w:t>
            </w:r>
          </w:p>
          <w:p w14:paraId="0D5F4E30">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eastAsia="zh-CN"/>
              </w:rPr>
              <w:t>偏差率保留两位小数</w:t>
            </w:r>
          </w:p>
        </w:tc>
      </w:tr>
      <w:tr w14:paraId="4CD9B77F">
        <w:tblPrEx>
          <w:tblCellMar>
            <w:top w:w="0" w:type="dxa"/>
            <w:left w:w="0" w:type="dxa"/>
            <w:bottom w:w="0" w:type="dxa"/>
            <w:right w:w="0" w:type="dxa"/>
          </w:tblCellMar>
        </w:tblPrEx>
        <w:trPr>
          <w:trHeight w:val="392"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075C94E2">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序号</w:t>
            </w:r>
          </w:p>
        </w:tc>
        <w:tc>
          <w:tcPr>
            <w:tcW w:w="995" w:type="dxa"/>
            <w:tcBorders>
              <w:top w:val="single" w:color="000000" w:sz="4" w:space="0"/>
              <w:left w:val="single" w:color="000000" w:sz="4" w:space="0"/>
              <w:bottom w:val="single" w:color="000000" w:sz="4" w:space="0"/>
              <w:right w:val="single" w:color="000000" w:sz="4" w:space="0"/>
            </w:tcBorders>
            <w:vAlign w:val="center"/>
          </w:tcPr>
          <w:p w14:paraId="71B27823">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评审项目</w:t>
            </w:r>
          </w:p>
        </w:tc>
        <w:tc>
          <w:tcPr>
            <w:tcW w:w="659" w:type="dxa"/>
            <w:tcBorders>
              <w:top w:val="single" w:color="000000" w:sz="4" w:space="0"/>
              <w:left w:val="single" w:color="000000" w:sz="4" w:space="0"/>
              <w:bottom w:val="single" w:color="000000" w:sz="4" w:space="0"/>
              <w:right w:val="single" w:color="000000" w:sz="4" w:space="0"/>
            </w:tcBorders>
            <w:vAlign w:val="center"/>
          </w:tcPr>
          <w:p w14:paraId="315734B0">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分值</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693D955F">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kern w:val="0"/>
                <w:sz w:val="24"/>
                <w:szCs w:val="24"/>
                <w:highlight w:val="none"/>
              </w:rPr>
              <w:t>评分内容及打分办法</w:t>
            </w:r>
          </w:p>
        </w:tc>
      </w:tr>
      <w:tr w14:paraId="57C84D15">
        <w:tblPrEx>
          <w:tblCellMar>
            <w:top w:w="0" w:type="dxa"/>
            <w:left w:w="0" w:type="dxa"/>
            <w:bottom w:w="0" w:type="dxa"/>
            <w:right w:w="0" w:type="dxa"/>
          </w:tblCellMar>
        </w:tblPrEx>
        <w:trPr>
          <w:trHeight w:val="392"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026">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lang w:eastAsia="zh-CN"/>
              </w:rPr>
            </w:pPr>
            <w:r>
              <w:rPr>
                <w:rFonts w:hint="eastAsia" w:ascii="宋体" w:hAnsi="宋体" w:eastAsia="宋体" w:cs="宋体"/>
                <w:color w:val="auto"/>
                <w:position w:val="-4"/>
                <w:sz w:val="24"/>
                <w:szCs w:val="24"/>
                <w:highlight w:val="none"/>
              </w:rPr>
              <w:t>报价得分</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lang w:val="en-US" w:eastAsia="zh-CN"/>
              </w:rPr>
              <w:t>70分</w:t>
            </w:r>
            <w:r>
              <w:rPr>
                <w:rFonts w:hint="eastAsia" w:ascii="宋体" w:hAnsi="宋体" w:eastAsia="宋体" w:cs="宋体"/>
                <w:color w:val="auto"/>
                <w:position w:val="-4"/>
                <w:sz w:val="24"/>
                <w:szCs w:val="24"/>
                <w:highlight w:val="none"/>
                <w:lang w:eastAsia="zh-CN"/>
              </w:rPr>
              <w:t>）</w:t>
            </w:r>
          </w:p>
          <w:p w14:paraId="76D0445B">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678B">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r>
              <w:rPr>
                <w:rFonts w:hint="eastAsia" w:ascii="宋体" w:hAnsi="宋体" w:eastAsia="宋体" w:cs="宋体"/>
                <w:color w:val="auto"/>
                <w:kern w:val="0"/>
                <w:sz w:val="24"/>
                <w:szCs w:val="24"/>
                <w:highlight w:val="none"/>
              </w:rPr>
              <w:t>投标报价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EDF">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分</w:t>
            </w:r>
          </w:p>
        </w:tc>
        <w:tc>
          <w:tcPr>
            <w:tcW w:w="6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2B8B">
            <w:pPr>
              <w:adjustRightInd w:val="0"/>
              <w:snapToGrid w:val="0"/>
              <w:spacing w:line="300" w:lineRule="auto"/>
              <w:ind w:firstLine="0" w:firstLineChars="0"/>
              <w:rPr>
                <w:rFonts w:ascii="宋体" w:hAnsi="宋体" w:eastAsia="宋体" w:cs="宋体"/>
                <w:spacing w:val="2"/>
                <w:position w:val="-3"/>
                <w:highlight w:val="none"/>
              </w:rPr>
            </w:pPr>
            <w:r>
              <w:rPr>
                <w:rFonts w:hint="eastAsia" w:ascii="宋体" w:hAnsi="宋体" w:eastAsia="宋体" w:cs="宋体"/>
                <w:spacing w:val="2"/>
                <w:position w:val="-3"/>
                <w:highlight w:val="none"/>
              </w:rPr>
              <w:t>投标报价得分计算公式：</w:t>
            </w:r>
          </w:p>
          <w:p w14:paraId="3A75C406">
            <w:pPr>
              <w:adjustRightInd w:val="0"/>
              <w:snapToGrid w:val="0"/>
              <w:spacing w:line="300" w:lineRule="auto"/>
              <w:ind w:left="120" w:leftChars="50" w:firstLine="0" w:firstLineChars="0"/>
              <w:rPr>
                <w:rFonts w:ascii="宋体" w:hAnsi="宋体" w:eastAsia="宋体" w:cs="宋体"/>
                <w:spacing w:val="2"/>
                <w:position w:val="-3"/>
                <w:highlight w:val="none"/>
              </w:rPr>
            </w:pPr>
            <w:r>
              <w:rPr>
                <w:rFonts w:hint="eastAsia" w:ascii="宋体" w:hAnsi="宋体" w:eastAsia="宋体" w:cs="宋体"/>
                <w:spacing w:val="2"/>
                <w:position w:val="-3"/>
                <w:highlight w:val="none"/>
              </w:rPr>
              <w:t>（1）如果供应商的投标报价＞评审基准价，则投标报价得分=设定分值－偏差率×100×</w:t>
            </w:r>
            <w:r>
              <w:rPr>
                <w:rFonts w:hint="eastAsia" w:ascii="宋体" w:hAnsi="宋体" w:eastAsia="宋体" w:cs="宋体"/>
                <w:spacing w:val="2"/>
                <w:position w:val="-3"/>
                <w:highlight w:val="none"/>
                <w:lang w:val="en-US" w:eastAsia="zh-CN"/>
              </w:rPr>
              <w:t>0.5</w:t>
            </w:r>
            <w:r>
              <w:rPr>
                <w:rFonts w:hint="eastAsia" w:ascii="宋体" w:hAnsi="宋体" w:eastAsia="宋体" w:cs="宋体"/>
                <w:spacing w:val="2"/>
                <w:position w:val="-3"/>
                <w:highlight w:val="none"/>
              </w:rPr>
              <w:t>；</w:t>
            </w:r>
          </w:p>
          <w:p w14:paraId="56D19375">
            <w:pPr>
              <w:pStyle w:val="17"/>
              <w:spacing w:line="440" w:lineRule="exact"/>
              <w:ind w:left="120" w:leftChars="50" w:right="120" w:rightChars="50" w:firstLine="0" w:firstLineChars="0"/>
              <w:jc w:val="both"/>
              <w:rPr>
                <w:rFonts w:ascii="宋体" w:hAnsi="宋体" w:eastAsia="宋体" w:cs="宋体"/>
                <w:spacing w:val="2"/>
                <w:position w:val="-3"/>
                <w:highlight w:val="none"/>
                <w:lang w:eastAsia="zh-CN"/>
              </w:rPr>
            </w:pPr>
            <w:r>
              <w:rPr>
                <w:rFonts w:hint="eastAsia" w:ascii="宋体" w:hAnsi="宋体" w:eastAsia="宋体" w:cs="宋体"/>
                <w:spacing w:val="2"/>
                <w:position w:val="-3"/>
                <w:highlight w:val="none"/>
                <w:lang w:eastAsia="zh-CN"/>
              </w:rPr>
              <w:t>（2）如果供应商的投标报价≤评审基准价，则投标报价得分=设定分值+偏差率×100×0.</w:t>
            </w:r>
            <w:r>
              <w:rPr>
                <w:rFonts w:hint="eastAsia" w:ascii="宋体" w:hAnsi="宋体" w:eastAsia="宋体" w:cs="宋体"/>
                <w:spacing w:val="2"/>
                <w:position w:val="-3"/>
                <w:highlight w:val="none"/>
                <w:lang w:val="en-US" w:eastAsia="zh-CN"/>
              </w:rPr>
              <w:t>3</w:t>
            </w:r>
            <w:r>
              <w:rPr>
                <w:rFonts w:hint="eastAsia" w:ascii="宋体" w:hAnsi="宋体" w:eastAsia="宋体" w:cs="宋体"/>
                <w:spacing w:val="2"/>
                <w:position w:val="-3"/>
                <w:highlight w:val="none"/>
                <w:lang w:eastAsia="zh-CN"/>
              </w:rPr>
              <w:t>。</w:t>
            </w:r>
          </w:p>
          <w:p w14:paraId="06F4E821">
            <w:pPr>
              <w:adjustRightInd w:val="0"/>
              <w:snapToGrid w:val="0"/>
              <w:spacing w:line="300" w:lineRule="auto"/>
              <w:ind w:left="120" w:leftChars="50" w:firstLine="480" w:firstLineChars="200"/>
              <w:rPr>
                <w:rFonts w:hint="eastAsia" w:ascii="宋体" w:hAnsi="宋体" w:eastAsia="宋体" w:cs="宋体"/>
                <w:color w:val="FF0000"/>
                <w:kern w:val="0"/>
                <w:sz w:val="24"/>
                <w:szCs w:val="24"/>
                <w:highlight w:val="none"/>
                <w:lang w:val="en-US" w:eastAsia="zh-CN"/>
              </w:rPr>
            </w:pPr>
          </w:p>
        </w:tc>
      </w:tr>
      <w:tr w14:paraId="6D3849CA">
        <w:tblPrEx>
          <w:tblCellMar>
            <w:top w:w="0" w:type="dxa"/>
            <w:left w:w="0" w:type="dxa"/>
            <w:bottom w:w="0" w:type="dxa"/>
            <w:right w:w="0" w:type="dxa"/>
          </w:tblCellMar>
        </w:tblPrEx>
        <w:trPr>
          <w:jc w:val="center"/>
        </w:trPr>
        <w:tc>
          <w:tcPr>
            <w:tcW w:w="654" w:type="dxa"/>
            <w:vMerge w:val="restart"/>
            <w:tcBorders>
              <w:top w:val="single" w:color="000000" w:sz="4" w:space="0"/>
              <w:left w:val="single" w:color="000000" w:sz="4" w:space="0"/>
              <w:right w:val="single" w:color="000000" w:sz="4" w:space="0"/>
            </w:tcBorders>
            <w:vAlign w:val="center"/>
          </w:tcPr>
          <w:p w14:paraId="03DD2D62">
            <w:pPr>
              <w:adjustRightInd w:val="0"/>
              <w:snapToGrid w:val="0"/>
              <w:spacing w:line="300" w:lineRule="auto"/>
              <w:ind w:firstLine="0" w:firstLineChars="0"/>
              <w:jc w:val="both"/>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商务得分</w:t>
            </w:r>
          </w:p>
          <w:p w14:paraId="159E1EF3">
            <w:pPr>
              <w:adjustRightInd w:val="0"/>
              <w:snapToGrid w:val="0"/>
              <w:spacing w:line="30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995" w:type="dxa"/>
            <w:tcBorders>
              <w:top w:val="single" w:color="000000" w:sz="4" w:space="0"/>
              <w:left w:val="single" w:color="000000" w:sz="4" w:space="0"/>
              <w:bottom w:val="single" w:color="000000" w:sz="4" w:space="0"/>
              <w:right w:val="single" w:color="000000" w:sz="4" w:space="0"/>
            </w:tcBorders>
            <w:vAlign w:val="center"/>
          </w:tcPr>
          <w:p w14:paraId="59962415">
            <w:pPr>
              <w:adjustRightInd w:val="0"/>
              <w:snapToGrid w:val="0"/>
              <w:spacing w:line="300" w:lineRule="auto"/>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单位</w:t>
            </w:r>
            <w:r>
              <w:rPr>
                <w:rFonts w:hint="eastAsia" w:ascii="宋体" w:hAnsi="宋体" w:eastAsia="宋体" w:cs="宋体"/>
                <w:kern w:val="0"/>
                <w:sz w:val="24"/>
                <w:szCs w:val="24"/>
                <w:highlight w:val="none"/>
              </w:rPr>
              <w:t>业绩</w:t>
            </w:r>
          </w:p>
        </w:tc>
        <w:tc>
          <w:tcPr>
            <w:tcW w:w="659" w:type="dxa"/>
            <w:tcBorders>
              <w:top w:val="single" w:color="000000" w:sz="4" w:space="0"/>
              <w:left w:val="single" w:color="000000" w:sz="4" w:space="0"/>
              <w:bottom w:val="single" w:color="000000" w:sz="4" w:space="0"/>
              <w:right w:val="single" w:color="000000" w:sz="4" w:space="0"/>
            </w:tcBorders>
            <w:vAlign w:val="center"/>
          </w:tcPr>
          <w:p w14:paraId="513C5A7E">
            <w:pPr>
              <w:adjustRightInd w:val="0"/>
              <w:snapToGrid w:val="0"/>
              <w:spacing w:line="30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4C17D6B0">
            <w:pPr>
              <w:keepNext w:val="0"/>
              <w:keepLines w:val="0"/>
              <w:widowControl/>
              <w:suppressLineNumbers w:val="0"/>
              <w:jc w:val="left"/>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yellow"/>
                <w:lang w:val="en-US" w:eastAsia="zh-CN"/>
              </w:rPr>
              <w:t>供应商自</w:t>
            </w:r>
            <w:r>
              <w:rPr>
                <w:rFonts w:hint="eastAsia" w:ascii="宋体" w:hAnsi="宋体" w:eastAsia="宋体" w:cs="宋体"/>
                <w:b/>
                <w:bCs/>
                <w:color w:val="auto"/>
                <w:kern w:val="0"/>
                <w:sz w:val="24"/>
                <w:szCs w:val="24"/>
                <w:highlight w:val="yellow"/>
                <w:lang w:val="en-US" w:eastAsia="zh-CN"/>
              </w:rPr>
              <w:t xml:space="preserve"> 2022年 1 月 1 日</w:t>
            </w:r>
            <w:r>
              <w:rPr>
                <w:rFonts w:hint="eastAsia" w:ascii="宋体" w:hAnsi="宋体" w:eastAsia="宋体" w:cs="宋体"/>
                <w:color w:val="auto"/>
                <w:kern w:val="0"/>
                <w:sz w:val="24"/>
                <w:szCs w:val="24"/>
                <w:highlight w:val="yellow"/>
                <w:lang w:val="en-US" w:eastAsia="zh-CN"/>
              </w:rPr>
              <w:t>至投标截止时间止(以合同签订时间为准)期间承接过</w:t>
            </w:r>
            <w:r>
              <w:rPr>
                <w:rFonts w:hint="eastAsia" w:ascii="宋体" w:hAnsi="宋体" w:eastAsia="宋体" w:cs="宋体"/>
                <w:b/>
                <w:bCs/>
                <w:color w:val="FF0000"/>
                <w:kern w:val="0"/>
                <w:sz w:val="24"/>
                <w:szCs w:val="24"/>
                <w:highlight w:val="yellow"/>
                <w:lang w:val="en-US" w:eastAsia="zh-CN"/>
              </w:rPr>
              <w:t>工程材料采购(含纳米合金管)</w:t>
            </w:r>
            <w:r>
              <w:rPr>
                <w:rFonts w:hint="eastAsia" w:ascii="宋体" w:hAnsi="宋体" w:eastAsia="宋体" w:cs="宋体"/>
                <w:color w:val="auto"/>
                <w:kern w:val="0"/>
                <w:sz w:val="24"/>
                <w:szCs w:val="24"/>
                <w:highlight w:val="yellow"/>
                <w:lang w:val="en-US" w:eastAsia="zh-CN"/>
              </w:rPr>
              <w:t>项目的，每提供一个项目有效证明文件得 5分，满分5分。</w:t>
            </w:r>
          </w:p>
          <w:p w14:paraId="7359CCCD">
            <w:pPr>
              <w:adjustRightInd w:val="0"/>
              <w:snapToGrid w:val="0"/>
              <w:spacing w:line="300" w:lineRule="auto"/>
              <w:ind w:left="120" w:leftChars="50" w:firstLine="0" w:firstLineChars="0"/>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auto"/>
                <w:kern w:val="0"/>
                <w:sz w:val="24"/>
                <w:szCs w:val="24"/>
                <w:highlight w:val="yellow"/>
                <w:lang w:val="en-US" w:eastAsia="zh-CN"/>
              </w:rPr>
              <w:t xml:space="preserve">   注:业绩证明须提供合同复印件，未按要求提供证明材料的，该项业绩不给予计分。</w:t>
            </w:r>
          </w:p>
        </w:tc>
      </w:tr>
      <w:tr w14:paraId="6CB7AF0F">
        <w:tblPrEx>
          <w:tblCellMar>
            <w:top w:w="0" w:type="dxa"/>
            <w:left w:w="0" w:type="dxa"/>
            <w:bottom w:w="0" w:type="dxa"/>
            <w:right w:w="0" w:type="dxa"/>
          </w:tblCellMar>
        </w:tblPrEx>
        <w:trPr>
          <w:jc w:val="center"/>
        </w:trPr>
        <w:tc>
          <w:tcPr>
            <w:tcW w:w="654" w:type="dxa"/>
            <w:vMerge w:val="continue"/>
            <w:tcBorders>
              <w:left w:val="single" w:color="000000" w:sz="4" w:space="0"/>
              <w:bottom w:val="single" w:color="auto" w:sz="4" w:space="0"/>
              <w:right w:val="single" w:color="000000" w:sz="4" w:space="0"/>
            </w:tcBorders>
            <w:vAlign w:val="center"/>
          </w:tcPr>
          <w:p w14:paraId="186C1E99">
            <w:pPr>
              <w:adjustRightInd w:val="0"/>
              <w:snapToGrid w:val="0"/>
              <w:spacing w:line="300" w:lineRule="auto"/>
              <w:ind w:firstLine="0" w:firstLineChars="0"/>
              <w:jc w:val="center"/>
              <w:rPr>
                <w:rFonts w:hint="eastAsia" w:ascii="宋体" w:hAnsi="宋体" w:eastAsia="宋体" w:cs="宋体"/>
                <w:color w:val="auto"/>
                <w:kern w:val="0"/>
                <w:sz w:val="24"/>
                <w:szCs w:val="24"/>
                <w:highlight w:val="none"/>
              </w:rPr>
            </w:pPr>
          </w:p>
        </w:tc>
        <w:tc>
          <w:tcPr>
            <w:tcW w:w="995" w:type="dxa"/>
            <w:tcBorders>
              <w:top w:val="single" w:color="000000" w:sz="4" w:space="0"/>
              <w:left w:val="single" w:color="000000" w:sz="4" w:space="0"/>
              <w:bottom w:val="single" w:color="auto" w:sz="4" w:space="0"/>
              <w:right w:val="single" w:color="000000" w:sz="4" w:space="0"/>
            </w:tcBorders>
            <w:vAlign w:val="center"/>
          </w:tcPr>
          <w:p w14:paraId="02C59F4C">
            <w:pPr>
              <w:adjustRightInd w:val="0"/>
              <w:snapToGrid w:val="0"/>
              <w:spacing w:line="300" w:lineRule="auto"/>
              <w:ind w:firstLine="0" w:firstLineChars="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响应及时性</w:t>
            </w:r>
          </w:p>
        </w:tc>
        <w:tc>
          <w:tcPr>
            <w:tcW w:w="659" w:type="dxa"/>
            <w:tcBorders>
              <w:top w:val="single" w:color="000000" w:sz="4" w:space="0"/>
              <w:left w:val="single" w:color="000000" w:sz="4" w:space="0"/>
              <w:bottom w:val="single" w:color="auto" w:sz="4" w:space="0"/>
              <w:right w:val="single" w:color="000000" w:sz="4" w:space="0"/>
            </w:tcBorders>
            <w:vAlign w:val="center"/>
          </w:tcPr>
          <w:p w14:paraId="34EDCC5E">
            <w:pPr>
              <w:adjustRightInd w:val="0"/>
              <w:snapToGrid w:val="0"/>
              <w:spacing w:line="300" w:lineRule="auto"/>
              <w:ind w:firstLine="0" w:firstLineChars="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5分</w:t>
            </w:r>
          </w:p>
        </w:tc>
        <w:tc>
          <w:tcPr>
            <w:tcW w:w="6922" w:type="dxa"/>
            <w:gridSpan w:val="2"/>
            <w:tcBorders>
              <w:top w:val="single" w:color="000000" w:sz="4" w:space="0"/>
              <w:left w:val="single" w:color="000000" w:sz="4" w:space="0"/>
              <w:bottom w:val="single" w:color="auto" w:sz="4" w:space="0"/>
              <w:right w:val="single" w:color="000000" w:sz="4" w:space="0"/>
            </w:tcBorders>
            <w:vAlign w:val="center"/>
          </w:tcPr>
          <w:p w14:paraId="27A0A1C5">
            <w:pPr>
              <w:adjustRightInd w:val="0"/>
              <w:snapToGrid w:val="0"/>
              <w:spacing w:line="300" w:lineRule="auto"/>
              <w:ind w:left="120" w:leftChars="50"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供应商承诺在接到采购人供货需求后1个小时内做出响应并在12小时内到货得5分；</w:t>
            </w:r>
          </w:p>
          <w:p w14:paraId="76D68ED2">
            <w:pPr>
              <w:adjustRightInd w:val="0"/>
              <w:snapToGrid w:val="0"/>
              <w:spacing w:line="300" w:lineRule="auto"/>
              <w:ind w:left="120" w:leftChars="50"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供应商承诺在接到采购人供货需求后1个小时内做出响应并在24小时内到货得3分；</w:t>
            </w:r>
          </w:p>
          <w:p w14:paraId="51100D64">
            <w:pPr>
              <w:adjustRightInd w:val="0"/>
              <w:snapToGrid w:val="0"/>
              <w:spacing w:line="300" w:lineRule="auto"/>
              <w:ind w:left="120" w:leftChars="50"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供应商承诺在接到采购人供货需求后1个小时内做出响应并在48小时内到货得1分；</w:t>
            </w:r>
          </w:p>
          <w:p w14:paraId="0F4DB91B">
            <w:pPr>
              <w:adjustRightInd w:val="0"/>
              <w:snapToGrid w:val="0"/>
              <w:spacing w:line="300" w:lineRule="auto"/>
              <w:ind w:left="120" w:leftChars="50" w:firstLine="480" w:firstLineChars="200"/>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kern w:val="0"/>
                <w:sz w:val="24"/>
                <w:szCs w:val="24"/>
                <w:highlight w:val="none"/>
                <w:lang w:val="en-US" w:eastAsia="zh-CN"/>
              </w:rPr>
              <w:t>（承诺函格式自拟，不承诺不得分）</w:t>
            </w:r>
          </w:p>
        </w:tc>
      </w:tr>
      <w:tr w14:paraId="16BB74B4">
        <w:tblPrEx>
          <w:tblCellMar>
            <w:top w:w="0" w:type="dxa"/>
            <w:left w:w="0" w:type="dxa"/>
            <w:bottom w:w="0" w:type="dxa"/>
            <w:right w:w="0" w:type="dxa"/>
          </w:tblCellMar>
        </w:tblPrEx>
        <w:trPr>
          <w:trHeight w:val="2029" w:hRule="atLeast"/>
          <w:jc w:val="center"/>
        </w:trPr>
        <w:tc>
          <w:tcPr>
            <w:tcW w:w="654" w:type="dxa"/>
            <w:tcBorders>
              <w:top w:val="single" w:color="auto" w:sz="4" w:space="0"/>
              <w:left w:val="single" w:color="auto" w:sz="4" w:space="0"/>
              <w:bottom w:val="single" w:color="auto" w:sz="4" w:space="0"/>
              <w:right w:val="single" w:color="auto" w:sz="4" w:space="0"/>
            </w:tcBorders>
            <w:vAlign w:val="center"/>
          </w:tcPr>
          <w:p w14:paraId="5045D974">
            <w:pPr>
              <w:adjustRightInd w:val="0"/>
              <w:snapToGrid w:val="0"/>
              <w:spacing w:line="300" w:lineRule="auto"/>
              <w:ind w:firstLine="0" w:firstLine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5"/>
                <w:sz w:val="24"/>
                <w:szCs w:val="24"/>
                <w:highlight w:val="none"/>
                <w:lang w:val="en-US" w:eastAsia="zh-CN"/>
              </w:rPr>
              <w:t>技术部分</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20分</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200页以内）</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13ACA563">
            <w:pPr>
              <w:pStyle w:val="17"/>
              <w:keepNext w:val="0"/>
              <w:keepLines w:val="0"/>
              <w:pageBreakBefore w:val="0"/>
              <w:kinsoku/>
              <w:wordWrap/>
              <w:overflowPunct/>
              <w:topLinePunct w:val="0"/>
              <w:autoSpaceDE/>
              <w:autoSpaceDN/>
              <w:bidi w:val="0"/>
              <w:adjustRightInd/>
              <w:snapToGrid/>
              <w:spacing w:before="65" w:line="360" w:lineRule="auto"/>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val="en-US" w:eastAsia="zh-CN"/>
              </w:rPr>
              <w:t>服务</w:t>
            </w:r>
            <w:r>
              <w:rPr>
                <w:rFonts w:hint="eastAsia" w:ascii="宋体" w:hAnsi="宋体" w:eastAsia="宋体" w:cs="宋体"/>
                <w:spacing w:val="2"/>
                <w:sz w:val="24"/>
                <w:szCs w:val="24"/>
                <w:highlight w:val="none"/>
              </w:rPr>
              <w:t>方</w:t>
            </w:r>
            <w:r>
              <w:rPr>
                <w:rFonts w:hint="eastAsia" w:ascii="宋体" w:hAnsi="宋体" w:eastAsia="宋体" w:cs="宋体"/>
                <w:spacing w:val="1"/>
                <w:sz w:val="24"/>
                <w:szCs w:val="24"/>
                <w:highlight w:val="none"/>
              </w:rPr>
              <w:t>案</w:t>
            </w:r>
          </w:p>
          <w:p w14:paraId="7121D13A">
            <w:pPr>
              <w:adjustRightInd w:val="0"/>
              <w:snapToGrid w:val="0"/>
              <w:spacing w:line="300" w:lineRule="auto"/>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20分</w:t>
            </w:r>
          </w:p>
        </w:tc>
        <w:tc>
          <w:tcPr>
            <w:tcW w:w="659" w:type="dxa"/>
            <w:tcBorders>
              <w:top w:val="single" w:color="auto" w:sz="4" w:space="0"/>
              <w:left w:val="single" w:color="auto" w:sz="4" w:space="0"/>
              <w:bottom w:val="single" w:color="auto" w:sz="4" w:space="0"/>
              <w:right w:val="single" w:color="auto" w:sz="4" w:space="0"/>
            </w:tcBorders>
            <w:vAlign w:val="center"/>
          </w:tcPr>
          <w:p w14:paraId="7E1ADA71">
            <w:pPr>
              <w:adjustRightInd w:val="0"/>
              <w:snapToGrid w:val="0"/>
              <w:spacing w:line="300" w:lineRule="auto"/>
              <w:ind w:firstLine="0" w:firstLineChars="0"/>
              <w:jc w:val="center"/>
              <w:rPr>
                <w:rFonts w:hint="default" w:ascii="宋体" w:hAnsi="宋体" w:eastAsia="宋体" w:cs="宋体"/>
                <w:kern w:val="0"/>
                <w:sz w:val="24"/>
                <w:szCs w:val="24"/>
                <w:highlight w:val="none"/>
                <w:lang w:val="en-US" w:eastAsia="zh-CN"/>
              </w:rPr>
            </w:pPr>
            <w:r>
              <w:rPr>
                <w:rFonts w:hint="eastAsia" w:ascii="宋体" w:hAnsi="宋体" w:eastAsia="宋体" w:cs="宋体"/>
                <w:color w:val="auto"/>
                <w:spacing w:val="5"/>
                <w:sz w:val="24"/>
                <w:szCs w:val="24"/>
                <w:highlight w:val="none"/>
                <w:lang w:val="en-US" w:eastAsia="zh-CN"/>
              </w:rPr>
              <w:t>20.0分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5B9107D6">
            <w:pPr>
              <w:pStyle w:val="17"/>
              <w:keepNext w:val="0"/>
              <w:keepLines w:val="0"/>
              <w:pageBreakBefore w:val="0"/>
              <w:widowControl w:val="0"/>
              <w:kinsoku/>
              <w:wordWrap/>
              <w:overflowPunct/>
              <w:topLinePunct w:val="0"/>
              <w:autoSpaceDE/>
              <w:autoSpaceDN/>
              <w:bidi w:val="0"/>
              <w:adjustRightInd/>
              <w:snapToGrid/>
              <w:spacing w:line="440" w:lineRule="exact"/>
              <w:ind w:left="120" w:leftChars="50" w:right="120" w:rightChars="5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根据供货方案、检测、质量保障、进度、安全、售后服务等保证措施方案是否全面、有效、合理进行评分。</w:t>
            </w:r>
          </w:p>
          <w:p w14:paraId="29D5141C">
            <w:pPr>
              <w:pStyle w:val="17"/>
              <w:keepNext w:val="0"/>
              <w:keepLines w:val="0"/>
              <w:pageBreakBefore w:val="0"/>
              <w:widowControl w:val="0"/>
              <w:kinsoku/>
              <w:wordWrap/>
              <w:overflowPunct/>
              <w:topLinePunct w:val="0"/>
              <w:autoSpaceDE/>
              <w:autoSpaceDN/>
              <w:bidi w:val="0"/>
              <w:adjustRightInd/>
              <w:snapToGrid/>
              <w:spacing w:line="440" w:lineRule="exact"/>
              <w:ind w:left="120" w:leftChars="50" w:right="120" w:rightChars="5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1.方案内容完整，详细具体，流程完善，层次清晰且针对性强，能充分满足项目需求得16-20分；</w:t>
            </w:r>
          </w:p>
          <w:p w14:paraId="47084428">
            <w:pPr>
              <w:pStyle w:val="17"/>
              <w:keepNext w:val="0"/>
              <w:keepLines w:val="0"/>
              <w:pageBreakBefore w:val="0"/>
              <w:widowControl w:val="0"/>
              <w:kinsoku/>
              <w:wordWrap/>
              <w:overflowPunct/>
              <w:topLinePunct w:val="0"/>
              <w:autoSpaceDE/>
              <w:autoSpaceDN/>
              <w:bidi w:val="0"/>
              <w:adjustRightInd/>
              <w:snapToGrid/>
              <w:spacing w:line="440" w:lineRule="exact"/>
              <w:ind w:left="120" w:leftChars="50" w:right="120" w:rightChars="5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2.方案内容比较完整，能满足项目需求得12-15分；</w:t>
            </w:r>
          </w:p>
          <w:p w14:paraId="74D9778D">
            <w:pPr>
              <w:pStyle w:val="17"/>
              <w:keepNext w:val="0"/>
              <w:keepLines w:val="0"/>
              <w:pageBreakBefore w:val="0"/>
              <w:widowControl w:val="0"/>
              <w:kinsoku/>
              <w:wordWrap/>
              <w:overflowPunct/>
              <w:topLinePunct w:val="0"/>
              <w:autoSpaceDE/>
              <w:autoSpaceDN/>
              <w:bidi w:val="0"/>
              <w:adjustRightInd/>
              <w:snapToGrid/>
              <w:spacing w:line="440" w:lineRule="exact"/>
              <w:ind w:left="120" w:leftChars="50" w:right="120" w:rightChars="5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3.方案内容基本完整，基本满足项目需求得 8-11分；</w:t>
            </w:r>
          </w:p>
          <w:p w14:paraId="15A1B1D9">
            <w:pPr>
              <w:pStyle w:val="17"/>
              <w:keepNext w:val="0"/>
              <w:keepLines w:val="0"/>
              <w:pageBreakBefore w:val="0"/>
              <w:widowControl w:val="0"/>
              <w:kinsoku/>
              <w:wordWrap/>
              <w:overflowPunct/>
              <w:topLinePunct w:val="0"/>
              <w:autoSpaceDE/>
              <w:autoSpaceDN/>
              <w:bidi w:val="0"/>
              <w:adjustRightInd/>
              <w:snapToGrid/>
              <w:spacing w:line="440" w:lineRule="exact"/>
              <w:ind w:left="120" w:leftChars="50" w:right="120" w:rightChars="5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4.方案一般，内容不完整，可行性与合理性一般得4-7分；</w:t>
            </w:r>
          </w:p>
          <w:p w14:paraId="4A165C88">
            <w:pPr>
              <w:pStyle w:val="17"/>
              <w:keepNext w:val="0"/>
              <w:keepLines w:val="0"/>
              <w:pageBreakBefore w:val="0"/>
              <w:widowControl w:val="0"/>
              <w:kinsoku/>
              <w:wordWrap/>
              <w:overflowPunct/>
              <w:topLinePunct w:val="0"/>
              <w:autoSpaceDE/>
              <w:autoSpaceDN/>
              <w:bidi w:val="0"/>
              <w:adjustRightInd/>
              <w:snapToGrid/>
              <w:spacing w:line="440" w:lineRule="exact"/>
              <w:ind w:left="120" w:leftChars="50" w:right="120" w:rightChars="50"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5.未提供方案的或方案极差或缺项的得0-3分。</w:t>
            </w:r>
          </w:p>
        </w:tc>
      </w:tr>
    </w:tbl>
    <w:p w14:paraId="6E8449C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注：供应商对提供资料的真实性负责，若提供虚假材料应标或做虚假承诺，将移交行政监督部门处理，面临被认定为虚假应标，废除中标资格、行政处罚等风险。 注：供应商对提供资料的真实性负责，若提供虚假材料应标或做虚假承诺，将移交行政监督部门处理，面临被认定为虚假应标，废除中标资格、行政处罚等风险。 </w:t>
      </w:r>
    </w:p>
    <w:p w14:paraId="6689CB1A">
      <w:pP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br w:type="page"/>
      </w:r>
    </w:p>
    <w:p w14:paraId="0427D99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1、评标方法 </w:t>
      </w:r>
    </w:p>
    <w:p w14:paraId="4DA3D2C7">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本次评标采用综合评分法。</w:t>
      </w:r>
    </w:p>
    <w:p w14:paraId="4FE67B59">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根据财政部对《政府采购货物和服务招标投标管理办法》（财政部令第87号）第四十四条规定：</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采购项目开标结束后，采购人或者采购代理机构应当依法对供应商的资格进行审查。合格供应商不足3家的，不得评标。</w:t>
      </w:r>
    </w:p>
    <w:p w14:paraId="3E0414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评标委员会对满足</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实质性要求的响应文件，按照本章第2.2款规定的评分标准进行打分，并按综合得分由高到低顺序推荐成交候选人，或根据采购人授权直接确定成交人，但投标报价低于其成本的除外。综合评分相等时，以投标报价低的优先；投标报价也相等的，由采购人自行确定。 </w:t>
      </w:r>
    </w:p>
    <w:p w14:paraId="6DE9686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2、评审标准 </w:t>
      </w:r>
    </w:p>
    <w:p w14:paraId="4A9F289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2.1 初步评审标准 </w:t>
      </w:r>
    </w:p>
    <w:p w14:paraId="21D099B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2.1.1 形式评审标准：见评标办法前附表。 </w:t>
      </w:r>
    </w:p>
    <w:p w14:paraId="7AC4EAE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2.1.2 资格评审标准：见评标办法前附表。 </w:t>
      </w:r>
    </w:p>
    <w:p w14:paraId="2F50FC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2.1.3 响应性评审标准：见评标办法前附表。 </w:t>
      </w:r>
    </w:p>
    <w:p w14:paraId="59DE9DB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2.2 分值构成与评分标准 </w:t>
      </w:r>
    </w:p>
    <w:p w14:paraId="6E8143A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2.2.1 分值构成</w:t>
      </w:r>
    </w:p>
    <w:p w14:paraId="1416C2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（1）报价得分：见评标办法前附表； </w:t>
      </w:r>
    </w:p>
    <w:p w14:paraId="63417E6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（2）商务得分：见评标办法前附表； </w:t>
      </w:r>
    </w:p>
    <w:p w14:paraId="78583DB8">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（3）技术得分：评标办法前附表；</w:t>
      </w:r>
    </w:p>
    <w:p w14:paraId="1E7C70C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（4）政策加分：评标办法前附表； </w:t>
      </w:r>
    </w:p>
    <w:p w14:paraId="4CAF3F6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2.2.2 评标基准价计算 </w:t>
      </w:r>
    </w:p>
    <w:p w14:paraId="2F9C8308">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评标基准价计算方法：见评标办法前附表。 </w:t>
      </w:r>
    </w:p>
    <w:p w14:paraId="216EFB5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2.2.3 投标报价的计算公式：见评标办法前附表。 </w:t>
      </w:r>
    </w:p>
    <w:p w14:paraId="0F72FA3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2.2.4 评分标准：见评标办法前附表； </w:t>
      </w:r>
    </w:p>
    <w:p w14:paraId="63DC3AF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3、评标程序 </w:t>
      </w:r>
    </w:p>
    <w:p w14:paraId="4E992B8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3.1 初步评审 </w:t>
      </w:r>
    </w:p>
    <w:p w14:paraId="3B0C5F6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3.1.1 评标委员会依据本章第2.1款规定的标准对响应文件进行初步评审，有一项不符合评审标准的，作无效标处理。 </w:t>
      </w:r>
    </w:p>
    <w:p w14:paraId="3D12C40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3.1.2 供应商有以下情形之一的，评标委员会应否决其投标； </w:t>
      </w:r>
    </w:p>
    <w:p w14:paraId="2ADFE09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（1）串通投标或弄虚作假或有其他违法行为的； </w:t>
      </w:r>
    </w:p>
    <w:p w14:paraId="14A831E7">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（2）不按评标委员会要求澄清、说明或补正的。</w:t>
      </w:r>
    </w:p>
    <w:p w14:paraId="239A176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3.1.3 投标报价有算术错误的，评标委员会按以下原则对投标报价进行修正，修正的价格经供应商书面确认后具有约束力。供应商不接受修正价格的，其投标作无效标处理。 </w:t>
      </w:r>
    </w:p>
    <w:p w14:paraId="0AA52EE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(1）响应文件中的大写金额与小写金额不一致的，以大写金额为准； </w:t>
      </w:r>
    </w:p>
    <w:p w14:paraId="0A199EC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(2）总价金额与依据单价计算出的结果不一致的，以单价金额为准修正总价，但单价金额小数点有明显错误的除外。 </w:t>
      </w:r>
    </w:p>
    <w:p w14:paraId="1C89B2C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3.2 详细评审 </w:t>
      </w:r>
    </w:p>
    <w:p w14:paraId="4F38F46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3.2.1 对通过初步评审的响应文件，由评标委员会按评标办法规定的量化因素和分值进行打分，并计算出综合评分得分。每个供应商最终得分为各评委打分的算术平均值。 </w:t>
      </w:r>
    </w:p>
    <w:p w14:paraId="587D9CE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3.2.2 评分分值计算保留小数点后两位，小数点后第三位“四舍五入”。 </w:t>
      </w:r>
    </w:p>
    <w:p w14:paraId="6E76702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3.2.3 评标委员会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委员会认定该供应商以低于成本报价竞标，其投标作无效标处理。 </w:t>
      </w:r>
    </w:p>
    <w:p w14:paraId="0FEF1F0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3.3 响应文件的澄清和补正 </w:t>
      </w:r>
    </w:p>
    <w:p w14:paraId="02E38CD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3.3.1 在评标过程中，评标委员会可以书面形式要求供应商对所提交响应文件中不明确的内容进行书面澄清或说明，或者对细微偏差进行补正。评标委员会不接受供应商主动提出的澄清、说明或补正。 </w:t>
      </w:r>
    </w:p>
    <w:p w14:paraId="2F7933D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3.3.2 澄清、说明和补正不得改变响应文件的实质性内容（算术性错误修正的除外）。供应商的书面澄清、说明和补正属于响应文件的组成部分。 </w:t>
      </w:r>
    </w:p>
    <w:p w14:paraId="36520A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3.3.3 评标委员会对供应商提交的澄清、说明或补正有疑问的，可以要求供应商进一步澄清、说明或补正，直至满足评标委员会的要求。 </w:t>
      </w:r>
    </w:p>
    <w:p w14:paraId="56AD41E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3.4 评标结果 </w:t>
      </w:r>
    </w:p>
    <w:p w14:paraId="7EB6B61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3.4.1 评标委员会按照供应商综合得分高到低的顺序推荐3名中标候选人。 </w:t>
      </w:r>
    </w:p>
    <w:p w14:paraId="757E6E8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3.4.2 评标委员会完成评标后，应当向采购人提交书面评标报告。 </w:t>
      </w:r>
    </w:p>
    <w:p w14:paraId="081EAB8E">
      <w:pP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br w:type="page"/>
      </w:r>
    </w:p>
    <w:p w14:paraId="6173CFD8">
      <w:pPr>
        <w:widowControl/>
        <w:ind w:firstLine="0" w:firstLineChars="0"/>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rPr>
        <w:t>附：废标条件</w:t>
      </w:r>
    </w:p>
    <w:p w14:paraId="1F51DB4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B1.开标废标条件：</w:t>
      </w:r>
      <w:r>
        <w:rPr>
          <w:rFonts w:hint="eastAsia" w:ascii="宋体" w:hAnsi="宋体" w:eastAsia="宋体" w:cs="宋体"/>
          <w:color w:val="auto"/>
          <w:kern w:val="0"/>
          <w:highlight w:val="none"/>
        </w:rPr>
        <w:t xml:space="preserve">供应商或其响应文件有下列情形之一的，其投标作无效标处理： </w:t>
      </w:r>
    </w:p>
    <w:p w14:paraId="00E8415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B1.1 </w:t>
      </w:r>
      <w:r>
        <w:rPr>
          <w:rFonts w:hint="eastAsia" w:ascii="宋体" w:hAnsi="宋体" w:eastAsia="宋体" w:cs="宋体"/>
          <w:color w:val="auto"/>
          <w:kern w:val="0"/>
          <w:highlight w:val="none"/>
        </w:rPr>
        <w:t>响应文件未按本</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要求递交的； </w:t>
      </w:r>
    </w:p>
    <w:p w14:paraId="3341C54D">
      <w:pPr>
        <w:widowControl/>
        <w:ind w:firstLine="482"/>
        <w:rPr>
          <w:rFonts w:hint="eastAsia" w:ascii="宋体" w:hAnsi="宋体" w:eastAsia="宋体" w:cs="宋体"/>
          <w:strike/>
          <w:color w:val="auto"/>
          <w:highlight w:val="none"/>
        </w:rPr>
      </w:pPr>
      <w:r>
        <w:rPr>
          <w:rFonts w:hint="eastAsia" w:ascii="宋体" w:hAnsi="宋体" w:eastAsia="宋体" w:cs="宋体"/>
          <w:b/>
          <w:bCs/>
          <w:strike/>
          <w:color w:val="auto"/>
          <w:kern w:val="0"/>
          <w:highlight w:val="none"/>
        </w:rPr>
        <w:t>B1.2</w:t>
      </w:r>
      <w:r>
        <w:rPr>
          <w:rFonts w:hint="eastAsia" w:ascii="宋体" w:hAnsi="宋体" w:eastAsia="宋体" w:cs="宋体"/>
          <w:strike/>
          <w:color w:val="auto"/>
          <w:kern w:val="0"/>
          <w:highlight w:val="none"/>
        </w:rPr>
        <w:t xml:space="preserve"> 未按要求提交投标保证金的； </w:t>
      </w:r>
    </w:p>
    <w:p w14:paraId="104EDD0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B1.3</w:t>
      </w:r>
      <w:r>
        <w:rPr>
          <w:rFonts w:hint="eastAsia" w:ascii="宋体" w:hAnsi="宋体" w:eastAsia="宋体" w:cs="宋体"/>
          <w:color w:val="auto"/>
          <w:kern w:val="0"/>
          <w:highlight w:val="none"/>
        </w:rPr>
        <w:t xml:space="preserve"> 现场参加开标的供应商代表未按时到场或身份证明材料不合格的； </w:t>
      </w:r>
    </w:p>
    <w:p w14:paraId="0B6C3F0C">
      <w:pPr>
        <w:widowControl/>
        <w:ind w:firstLine="482"/>
        <w:rPr>
          <w:rFonts w:hint="eastAsia" w:ascii="宋体" w:hAnsi="宋体" w:eastAsia="宋体" w:cs="宋体"/>
          <w:color w:val="auto"/>
          <w:highlight w:val="none"/>
        </w:rPr>
      </w:pPr>
      <w:r>
        <w:rPr>
          <w:rFonts w:hint="eastAsia" w:ascii="宋体" w:hAnsi="宋体" w:eastAsia="宋体" w:cs="宋体"/>
          <w:b/>
          <w:bCs/>
          <w:strike/>
          <w:color w:val="auto"/>
          <w:kern w:val="0"/>
          <w:highlight w:val="none"/>
        </w:rPr>
        <w:t xml:space="preserve">B1.4 </w:t>
      </w:r>
      <w:r>
        <w:rPr>
          <w:rFonts w:hint="eastAsia" w:ascii="宋体" w:hAnsi="宋体" w:eastAsia="宋体" w:cs="宋体"/>
          <w:strike/>
          <w:color w:val="auto"/>
          <w:kern w:val="0"/>
          <w:highlight w:val="none"/>
        </w:rPr>
        <w:t>远程参与投标的在投标截止时间后30分内解密不成功的</w:t>
      </w:r>
      <w:r>
        <w:rPr>
          <w:rFonts w:hint="eastAsia" w:ascii="宋体" w:hAnsi="宋体" w:eastAsia="宋体" w:cs="宋体"/>
          <w:b/>
          <w:bCs/>
          <w:color w:val="auto"/>
          <w:kern w:val="0"/>
          <w:highlight w:val="none"/>
        </w:rPr>
        <w:t>（不适用，无需解密）</w:t>
      </w:r>
      <w:r>
        <w:rPr>
          <w:rFonts w:hint="eastAsia" w:ascii="宋体" w:hAnsi="宋体" w:eastAsia="宋体" w:cs="宋体"/>
          <w:color w:val="auto"/>
          <w:kern w:val="0"/>
          <w:highlight w:val="none"/>
        </w:rPr>
        <w:t xml:space="preserve">； </w:t>
      </w:r>
    </w:p>
    <w:p w14:paraId="6A950B0F">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 xml:space="preserve">B1.5 </w:t>
      </w:r>
      <w:r>
        <w:rPr>
          <w:rFonts w:hint="eastAsia" w:ascii="宋体" w:hAnsi="宋体" w:eastAsia="宋体" w:cs="宋体"/>
          <w:color w:val="auto"/>
          <w:kern w:val="0"/>
          <w:highlight w:val="none"/>
        </w:rPr>
        <w:t>供应商资格审查不通过的</w:t>
      </w:r>
      <w:r>
        <w:rPr>
          <w:rFonts w:hint="eastAsia" w:ascii="宋体" w:hAnsi="宋体" w:eastAsia="宋体" w:cs="宋体"/>
          <w:b/>
          <w:bCs/>
          <w:color w:val="auto"/>
          <w:kern w:val="0"/>
          <w:highlight w:val="none"/>
        </w:rPr>
        <w:t>；</w:t>
      </w:r>
    </w:p>
    <w:p w14:paraId="36FD520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B1.6 </w:t>
      </w:r>
      <w:r>
        <w:rPr>
          <w:rFonts w:hint="eastAsia" w:ascii="宋体" w:hAnsi="宋体" w:eastAsia="宋体" w:cs="宋体"/>
          <w:color w:val="auto"/>
          <w:kern w:val="0"/>
          <w:highlight w:val="none"/>
        </w:rPr>
        <w:t>供应商的投标总价</w:t>
      </w:r>
      <w:r>
        <w:rPr>
          <w:rFonts w:hint="eastAsia" w:ascii="宋体" w:hAnsi="宋体" w:eastAsia="宋体" w:cs="宋体"/>
          <w:b/>
          <w:bCs/>
          <w:color w:val="auto"/>
          <w:kern w:val="0"/>
          <w:highlight w:val="none"/>
        </w:rPr>
        <w:t>超过已公布的最高投标限价（招标控制价）及其他相应价格的；</w:t>
      </w:r>
      <w:r>
        <w:rPr>
          <w:rFonts w:hint="eastAsia" w:ascii="宋体" w:hAnsi="宋体" w:eastAsia="宋体" w:cs="宋体"/>
          <w:color w:val="auto"/>
          <w:kern w:val="0"/>
          <w:highlight w:val="none"/>
        </w:rPr>
        <w:t xml:space="preserve"> </w:t>
      </w:r>
    </w:p>
    <w:p w14:paraId="3D4EACC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B2. 评标废标条件：</w:t>
      </w:r>
      <w:r>
        <w:rPr>
          <w:rFonts w:hint="eastAsia" w:ascii="宋体" w:hAnsi="宋体" w:eastAsia="宋体" w:cs="宋体"/>
          <w:color w:val="auto"/>
          <w:kern w:val="0"/>
          <w:highlight w:val="none"/>
        </w:rPr>
        <w:t xml:space="preserve">供应商或其响应文件有下列情形之一的，其投标作废标处理： </w:t>
      </w:r>
    </w:p>
    <w:p w14:paraId="390E8A9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B2.1</w:t>
      </w:r>
      <w:r>
        <w:rPr>
          <w:rFonts w:hint="eastAsia" w:ascii="宋体" w:hAnsi="宋体" w:eastAsia="宋体" w:cs="宋体"/>
          <w:color w:val="auto"/>
          <w:kern w:val="0"/>
          <w:highlight w:val="none"/>
        </w:rPr>
        <w:t xml:space="preserve"> 第二章“供应商须知”第1.4.4项规定的任何一种情形的； </w:t>
      </w:r>
    </w:p>
    <w:p w14:paraId="79B2CE1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B2.2 </w:t>
      </w:r>
      <w:r>
        <w:rPr>
          <w:rFonts w:hint="eastAsia" w:ascii="宋体" w:hAnsi="宋体" w:eastAsia="宋体" w:cs="宋体"/>
          <w:color w:val="auto"/>
          <w:kern w:val="0"/>
          <w:highlight w:val="none"/>
        </w:rPr>
        <w:t xml:space="preserve">投标函的投标价格采用手写或作修改的； </w:t>
      </w:r>
    </w:p>
    <w:p w14:paraId="1062595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B2.3 </w:t>
      </w:r>
      <w:r>
        <w:rPr>
          <w:rFonts w:hint="eastAsia" w:ascii="宋体" w:hAnsi="宋体" w:eastAsia="宋体" w:cs="宋体"/>
          <w:color w:val="auto"/>
          <w:kern w:val="0"/>
          <w:highlight w:val="none"/>
        </w:rPr>
        <w:t xml:space="preserve">不按评标委员会要求澄清、说明或补正的； </w:t>
      </w:r>
    </w:p>
    <w:p w14:paraId="3850F26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B2.4 </w:t>
      </w:r>
      <w:r>
        <w:rPr>
          <w:rFonts w:hint="eastAsia" w:ascii="宋体" w:hAnsi="宋体" w:eastAsia="宋体" w:cs="宋体"/>
          <w:color w:val="auto"/>
          <w:kern w:val="0"/>
          <w:highlight w:val="none"/>
        </w:rPr>
        <w:t>在响应性评审中，评标委员会认定供应商的投标不符合评标办法前附表中规定的任何一项评审标准的；</w:t>
      </w:r>
      <w:r>
        <w:rPr>
          <w:rFonts w:hint="eastAsia" w:ascii="宋体" w:hAnsi="宋体" w:eastAsia="宋体" w:cs="宋体"/>
          <w:b/>
          <w:bCs/>
          <w:color w:val="auto"/>
          <w:kern w:val="0"/>
          <w:highlight w:val="none"/>
        </w:rPr>
        <w:t xml:space="preserve"> </w:t>
      </w:r>
    </w:p>
    <w:p w14:paraId="28E2FE8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B2.5 </w:t>
      </w:r>
      <w:r>
        <w:rPr>
          <w:rFonts w:hint="eastAsia" w:ascii="宋体" w:hAnsi="宋体" w:eastAsia="宋体" w:cs="宋体"/>
          <w:color w:val="auto"/>
          <w:kern w:val="0"/>
          <w:highlight w:val="none"/>
        </w:rPr>
        <w:t>投标报价明显低于成本的，供应商不能合理说明或者不能提供相关证明材料的；</w:t>
      </w:r>
    </w:p>
    <w:p w14:paraId="29CA820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B2.6 </w:t>
      </w:r>
      <w:r>
        <w:rPr>
          <w:rFonts w:hint="eastAsia" w:ascii="宋体" w:hAnsi="宋体" w:eastAsia="宋体" w:cs="宋体"/>
          <w:color w:val="auto"/>
          <w:kern w:val="0"/>
          <w:highlight w:val="none"/>
        </w:rPr>
        <w:t>供应商以他人名义投标、串通投标、以行贿手段谋取中标或者以弄虚作假等方式投标的；</w:t>
      </w:r>
      <w:r>
        <w:rPr>
          <w:rFonts w:hint="eastAsia" w:ascii="宋体" w:hAnsi="宋体" w:eastAsia="宋体" w:cs="宋体"/>
          <w:b/>
          <w:bCs/>
          <w:color w:val="auto"/>
          <w:kern w:val="0"/>
          <w:highlight w:val="none"/>
        </w:rPr>
        <w:t xml:space="preserve"> </w:t>
      </w:r>
    </w:p>
    <w:p w14:paraId="79CA34E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B2.7 </w:t>
      </w:r>
      <w:r>
        <w:rPr>
          <w:rFonts w:hint="eastAsia" w:ascii="宋体" w:hAnsi="宋体" w:eastAsia="宋体" w:cs="宋体"/>
          <w:color w:val="auto"/>
          <w:kern w:val="0"/>
          <w:highlight w:val="none"/>
        </w:rPr>
        <w:t xml:space="preserve">提供虚假材料，骗取政府采购供应商资格的； </w:t>
      </w:r>
    </w:p>
    <w:p w14:paraId="59136AB0">
      <w:pPr>
        <w:widowControl/>
        <w:ind w:firstLine="482"/>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 xml:space="preserve">B2.8 </w:t>
      </w:r>
      <w:r>
        <w:rPr>
          <w:rFonts w:hint="eastAsia" w:ascii="宋体" w:hAnsi="宋体" w:eastAsia="宋体" w:cs="宋体"/>
          <w:color w:val="auto"/>
          <w:kern w:val="0"/>
          <w:highlight w:val="none"/>
        </w:rPr>
        <w:t>响应文件对本</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需承诺内容未作出承诺的；</w:t>
      </w:r>
    </w:p>
    <w:p w14:paraId="5731785A">
      <w:pPr>
        <w:widowControl/>
        <w:ind w:firstLine="482"/>
        <w:rPr>
          <w:rFonts w:hint="eastAsia" w:ascii="宋体" w:hAnsi="宋体" w:eastAsia="宋体" w:cs="宋体"/>
          <w:b/>
          <w:bCs/>
          <w:color w:val="auto"/>
          <w:highlight w:val="none"/>
        </w:rPr>
      </w:pPr>
      <w:r>
        <w:rPr>
          <w:rFonts w:hint="eastAsia" w:ascii="宋体" w:hAnsi="宋体" w:eastAsia="宋体" w:cs="宋体"/>
          <w:b/>
          <w:bCs/>
          <w:color w:val="auto"/>
          <w:kern w:val="0"/>
          <w:highlight w:val="none"/>
        </w:rPr>
        <w:t>B2.9 评标委员会认定供应商以低于成本</w:t>
      </w:r>
      <w:r>
        <w:rPr>
          <w:rFonts w:hint="eastAsia" w:ascii="宋体" w:hAnsi="宋体" w:eastAsia="宋体" w:cs="宋体"/>
          <w:b/>
          <w:bCs/>
          <w:color w:val="auto"/>
          <w:kern w:val="0"/>
          <w:highlight w:val="none"/>
          <w:lang w:val="en-US" w:eastAsia="zh-CN"/>
        </w:rPr>
        <w:t>或低于其他供应商报价平均值的70%</w:t>
      </w:r>
      <w:r>
        <w:rPr>
          <w:rFonts w:hint="eastAsia" w:ascii="宋体" w:hAnsi="宋体" w:eastAsia="宋体" w:cs="宋体"/>
          <w:b/>
          <w:bCs/>
          <w:color w:val="auto"/>
          <w:kern w:val="0"/>
          <w:highlight w:val="none"/>
        </w:rPr>
        <w:t>报价竞标的；</w:t>
      </w:r>
    </w:p>
    <w:p w14:paraId="280A70A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B2.10 </w:t>
      </w:r>
      <w:r>
        <w:rPr>
          <w:rFonts w:hint="eastAsia" w:ascii="宋体" w:hAnsi="宋体" w:eastAsia="宋体" w:cs="宋体"/>
          <w:color w:val="auto"/>
          <w:kern w:val="0"/>
          <w:highlight w:val="none"/>
        </w:rPr>
        <w:t xml:space="preserve">评标委员会认定响应文件异常一致或投标报价呈规律性差异的； </w:t>
      </w:r>
    </w:p>
    <w:p w14:paraId="15B532E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B2.11 </w:t>
      </w:r>
      <w:r>
        <w:rPr>
          <w:rFonts w:hint="eastAsia" w:ascii="宋体" w:hAnsi="宋体" w:eastAsia="宋体" w:cs="宋体"/>
          <w:color w:val="auto"/>
          <w:kern w:val="0"/>
          <w:highlight w:val="none"/>
        </w:rPr>
        <w:t xml:space="preserve">评标委员会认定供应商串通投标或弄虚作假或有其他违法行为的； </w:t>
      </w:r>
    </w:p>
    <w:p w14:paraId="76F9DA8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rPr>
        <w:t xml:space="preserve">B2.12 </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中规定的其它无效标情况； </w:t>
      </w:r>
    </w:p>
    <w:p w14:paraId="6FA7DE89">
      <w:pPr>
        <w:widowControl/>
        <w:ind w:firstLine="482"/>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 xml:space="preserve">B2.13 </w:t>
      </w:r>
      <w:r>
        <w:rPr>
          <w:rFonts w:hint="eastAsia" w:ascii="宋体" w:hAnsi="宋体" w:eastAsia="宋体" w:cs="宋体"/>
          <w:color w:val="auto"/>
          <w:kern w:val="0"/>
          <w:highlight w:val="none"/>
        </w:rPr>
        <w:t>违反法律法规规章相关规定的。</w:t>
      </w:r>
    </w:p>
    <w:p w14:paraId="52FB83C2">
      <w:pPr>
        <w:ind w:firstLine="482"/>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B3. 其他废标的规定：</w:t>
      </w:r>
      <w:r>
        <w:rPr>
          <w:rFonts w:hint="eastAsia" w:ascii="宋体" w:hAnsi="宋体" w:eastAsia="宋体" w:cs="宋体"/>
          <w:color w:val="auto"/>
          <w:kern w:val="0"/>
          <w:highlight w:val="none"/>
        </w:rPr>
        <w:t xml:space="preserve"> 有下列情形之一时，应予以废标：</w:t>
      </w:r>
    </w:p>
    <w:p w14:paraId="067B5D25">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B3.1</w:t>
      </w:r>
      <w:r>
        <w:rPr>
          <w:rFonts w:hint="eastAsia" w:ascii="宋体" w:hAnsi="宋体" w:eastAsia="宋体" w:cs="宋体"/>
          <w:color w:val="auto"/>
          <w:kern w:val="0"/>
          <w:highlight w:val="none"/>
        </w:rPr>
        <w:t>符合专业条件的供应商或者对</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作实质响应的供应商不足三家的；</w:t>
      </w:r>
    </w:p>
    <w:p w14:paraId="3ADDE2F8">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B3.2</w:t>
      </w:r>
      <w:r>
        <w:rPr>
          <w:rFonts w:hint="eastAsia" w:ascii="宋体" w:hAnsi="宋体" w:eastAsia="宋体" w:cs="宋体"/>
          <w:color w:val="auto"/>
          <w:kern w:val="0"/>
          <w:highlight w:val="none"/>
        </w:rPr>
        <w:t>出现影响采购公正的违法、违规行为的；</w:t>
      </w:r>
    </w:p>
    <w:p w14:paraId="084F8482">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B3.3</w:t>
      </w:r>
      <w:r>
        <w:rPr>
          <w:rFonts w:hint="eastAsia" w:ascii="宋体" w:hAnsi="宋体" w:eastAsia="宋体" w:cs="宋体"/>
          <w:color w:val="auto"/>
          <w:kern w:val="0"/>
          <w:highlight w:val="none"/>
        </w:rPr>
        <w:t>供应商的报价均超过了采购预算，采购人不能支付的；</w:t>
      </w:r>
    </w:p>
    <w:p w14:paraId="2CEE6E57">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B3.4</w:t>
      </w:r>
      <w:r>
        <w:rPr>
          <w:rFonts w:hint="eastAsia" w:ascii="宋体" w:hAnsi="宋体" w:eastAsia="宋体" w:cs="宋体"/>
          <w:color w:val="auto"/>
          <w:kern w:val="0"/>
          <w:highlight w:val="none"/>
        </w:rPr>
        <w:t>因重大变故，采购任务取消的；</w:t>
      </w:r>
    </w:p>
    <w:p w14:paraId="1827D07F">
      <w:pPr>
        <w:widowControl/>
        <w:ind w:firstLine="482"/>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B3.5</w:t>
      </w:r>
      <w:r>
        <w:rPr>
          <w:rFonts w:hint="eastAsia" w:ascii="宋体" w:hAnsi="宋体" w:eastAsia="宋体" w:cs="宋体"/>
          <w:color w:val="auto"/>
          <w:kern w:val="0"/>
          <w:highlight w:val="none"/>
        </w:rPr>
        <w:t>符合有关法律法规规定的其他废标条件的。</w:t>
      </w:r>
    </w:p>
    <w:p w14:paraId="12FAAC0D">
      <w:pPr>
        <w:widowControl/>
        <w:ind w:firstLine="482"/>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备注：评标委员会判定为废标的响应文件，应附废标情况说明，并在评审结果告知时，向供应商公布。未在此处集中表述的和</w:t>
      </w:r>
      <w:r>
        <w:rPr>
          <w:rFonts w:hint="eastAsia" w:ascii="宋体" w:hAnsi="宋体" w:eastAsia="宋体" w:cs="宋体"/>
          <w:b/>
          <w:bCs/>
          <w:color w:val="auto"/>
          <w:kern w:val="0"/>
          <w:highlight w:val="none"/>
          <w:lang w:eastAsia="zh-CN"/>
        </w:rPr>
        <w:t>谈判采购</w:t>
      </w:r>
      <w:r>
        <w:rPr>
          <w:rFonts w:hint="eastAsia" w:ascii="宋体" w:hAnsi="宋体" w:eastAsia="宋体" w:cs="宋体"/>
          <w:b/>
          <w:bCs/>
          <w:color w:val="auto"/>
          <w:kern w:val="0"/>
          <w:highlight w:val="none"/>
        </w:rPr>
        <w:t>中明确的其它无效标情况，评标委员会不得作为界定废标的依据。</w:t>
      </w:r>
    </w:p>
    <w:p w14:paraId="643CCB55">
      <w:pPr>
        <w:ind w:firstLine="0" w:firstLineChars="0"/>
        <w:jc w:val="center"/>
        <w:rPr>
          <w:rFonts w:hint="eastAsia" w:ascii="宋体" w:hAnsi="宋体" w:eastAsia="宋体" w:cs="宋体"/>
          <w:b/>
          <w:bCs/>
          <w:color w:val="auto"/>
          <w:kern w:val="0"/>
          <w:sz w:val="31"/>
          <w:szCs w:val="31"/>
          <w:highlight w:val="none"/>
        </w:rPr>
      </w:pPr>
      <w:bookmarkStart w:id="15" w:name="_Toc28753"/>
    </w:p>
    <w:p w14:paraId="4A38D6E9">
      <w:pPr>
        <w:ind w:firstLine="0" w:firstLineChars="0"/>
        <w:jc w:val="center"/>
        <w:rPr>
          <w:rFonts w:hint="eastAsia" w:ascii="宋体" w:hAnsi="宋体" w:eastAsia="宋体" w:cs="宋体"/>
          <w:b/>
          <w:bCs/>
          <w:color w:val="auto"/>
          <w:kern w:val="0"/>
          <w:sz w:val="31"/>
          <w:szCs w:val="31"/>
          <w:highlight w:val="none"/>
        </w:rPr>
      </w:pPr>
    </w:p>
    <w:p w14:paraId="5C12ACF7">
      <w:pPr>
        <w:ind w:firstLine="0" w:firstLineChars="0"/>
        <w:jc w:val="center"/>
        <w:rPr>
          <w:rFonts w:hint="eastAsia" w:ascii="宋体" w:hAnsi="宋体" w:eastAsia="宋体" w:cs="宋体"/>
          <w:b/>
          <w:bCs/>
          <w:color w:val="auto"/>
          <w:kern w:val="0"/>
          <w:sz w:val="31"/>
          <w:szCs w:val="31"/>
          <w:highlight w:val="none"/>
        </w:rPr>
      </w:pPr>
    </w:p>
    <w:p w14:paraId="169754C2">
      <w:pPr>
        <w:ind w:firstLine="0" w:firstLineChars="0"/>
        <w:jc w:val="center"/>
        <w:rPr>
          <w:rFonts w:hint="eastAsia" w:ascii="宋体" w:hAnsi="宋体" w:eastAsia="宋体" w:cs="宋体"/>
          <w:b/>
          <w:bCs/>
          <w:color w:val="auto"/>
          <w:kern w:val="0"/>
          <w:sz w:val="31"/>
          <w:szCs w:val="31"/>
          <w:highlight w:val="none"/>
        </w:rPr>
      </w:pPr>
    </w:p>
    <w:p w14:paraId="5E8251A5">
      <w:pPr>
        <w:ind w:firstLine="0" w:firstLineChars="0"/>
        <w:jc w:val="center"/>
        <w:rPr>
          <w:rFonts w:hint="eastAsia" w:ascii="宋体" w:hAnsi="宋体" w:eastAsia="宋体" w:cs="宋体"/>
          <w:b/>
          <w:bCs/>
          <w:color w:val="auto"/>
          <w:kern w:val="0"/>
          <w:sz w:val="31"/>
          <w:szCs w:val="31"/>
          <w:highlight w:val="none"/>
        </w:rPr>
      </w:pPr>
    </w:p>
    <w:p w14:paraId="3760B490">
      <w:pPr>
        <w:ind w:firstLine="0" w:firstLineChars="0"/>
        <w:jc w:val="center"/>
        <w:rPr>
          <w:rFonts w:hint="eastAsia" w:ascii="宋体" w:hAnsi="宋体" w:eastAsia="宋体" w:cs="宋体"/>
          <w:b/>
          <w:bCs/>
          <w:color w:val="auto"/>
          <w:kern w:val="0"/>
          <w:sz w:val="31"/>
          <w:szCs w:val="31"/>
          <w:highlight w:val="none"/>
        </w:rPr>
      </w:pPr>
    </w:p>
    <w:p w14:paraId="0082AB9C">
      <w:pPr>
        <w:ind w:firstLine="0" w:firstLineChars="0"/>
        <w:jc w:val="center"/>
        <w:rPr>
          <w:rFonts w:hint="eastAsia" w:ascii="宋体" w:hAnsi="宋体" w:eastAsia="宋体" w:cs="宋体"/>
          <w:b/>
          <w:bCs/>
          <w:color w:val="auto"/>
          <w:kern w:val="0"/>
          <w:sz w:val="31"/>
          <w:szCs w:val="31"/>
          <w:highlight w:val="none"/>
        </w:rPr>
      </w:pPr>
    </w:p>
    <w:p w14:paraId="35531A9F">
      <w:pPr>
        <w:ind w:firstLine="0" w:firstLineChars="0"/>
        <w:jc w:val="center"/>
        <w:rPr>
          <w:rFonts w:hint="eastAsia" w:ascii="宋体" w:hAnsi="宋体" w:eastAsia="宋体" w:cs="宋体"/>
          <w:b/>
          <w:bCs/>
          <w:color w:val="auto"/>
          <w:kern w:val="0"/>
          <w:sz w:val="31"/>
          <w:szCs w:val="31"/>
          <w:highlight w:val="none"/>
        </w:rPr>
      </w:pPr>
    </w:p>
    <w:p w14:paraId="61F8C8B6">
      <w:pPr>
        <w:ind w:firstLine="0" w:firstLineChars="0"/>
        <w:jc w:val="center"/>
        <w:rPr>
          <w:rFonts w:hint="eastAsia" w:ascii="宋体" w:hAnsi="宋体" w:eastAsia="宋体" w:cs="宋体"/>
          <w:b/>
          <w:bCs/>
          <w:color w:val="auto"/>
          <w:kern w:val="0"/>
          <w:sz w:val="31"/>
          <w:szCs w:val="31"/>
          <w:highlight w:val="none"/>
        </w:rPr>
      </w:pPr>
    </w:p>
    <w:p w14:paraId="681D7491">
      <w:pPr>
        <w:ind w:firstLine="0" w:firstLineChars="0"/>
        <w:jc w:val="center"/>
        <w:rPr>
          <w:rFonts w:hint="eastAsia" w:ascii="宋体" w:hAnsi="宋体" w:eastAsia="宋体" w:cs="宋体"/>
          <w:b/>
          <w:bCs/>
          <w:color w:val="auto"/>
          <w:kern w:val="0"/>
          <w:sz w:val="31"/>
          <w:szCs w:val="31"/>
          <w:highlight w:val="none"/>
        </w:rPr>
      </w:pPr>
    </w:p>
    <w:p w14:paraId="3AE3EB38">
      <w:pPr>
        <w:ind w:firstLine="0" w:firstLineChars="0"/>
        <w:jc w:val="center"/>
        <w:rPr>
          <w:rFonts w:hint="eastAsia" w:ascii="宋体" w:hAnsi="宋体" w:eastAsia="宋体" w:cs="宋体"/>
          <w:b/>
          <w:bCs/>
          <w:color w:val="auto"/>
          <w:kern w:val="0"/>
          <w:sz w:val="31"/>
          <w:szCs w:val="31"/>
          <w:highlight w:val="none"/>
        </w:rPr>
      </w:pPr>
    </w:p>
    <w:p w14:paraId="4CA802ED">
      <w:pPr>
        <w:ind w:firstLine="0" w:firstLineChars="0"/>
        <w:jc w:val="center"/>
        <w:rPr>
          <w:rFonts w:hint="eastAsia" w:ascii="宋体" w:hAnsi="宋体" w:eastAsia="宋体" w:cs="宋体"/>
          <w:b/>
          <w:bCs/>
          <w:color w:val="auto"/>
          <w:kern w:val="0"/>
          <w:sz w:val="31"/>
          <w:szCs w:val="31"/>
          <w:highlight w:val="none"/>
        </w:rPr>
      </w:pPr>
    </w:p>
    <w:p w14:paraId="3184EBB9">
      <w:pPr>
        <w:ind w:firstLine="0" w:firstLineChars="0"/>
        <w:jc w:val="center"/>
        <w:rPr>
          <w:rFonts w:hint="eastAsia" w:ascii="宋体" w:hAnsi="宋体" w:eastAsia="宋体" w:cs="宋体"/>
          <w:b/>
          <w:bCs/>
          <w:color w:val="auto"/>
          <w:kern w:val="0"/>
          <w:sz w:val="31"/>
          <w:szCs w:val="31"/>
          <w:highlight w:val="none"/>
        </w:rPr>
      </w:pPr>
    </w:p>
    <w:p w14:paraId="77264F9B">
      <w:pPr>
        <w:ind w:firstLine="0" w:firstLineChars="0"/>
        <w:jc w:val="center"/>
        <w:rPr>
          <w:rFonts w:hint="eastAsia" w:ascii="宋体" w:hAnsi="宋体" w:eastAsia="宋体" w:cs="宋体"/>
          <w:b/>
          <w:bCs/>
          <w:color w:val="auto"/>
          <w:kern w:val="0"/>
          <w:sz w:val="31"/>
          <w:szCs w:val="31"/>
          <w:highlight w:val="none"/>
        </w:rPr>
      </w:pPr>
    </w:p>
    <w:p w14:paraId="3AE9A1D2">
      <w:pPr>
        <w:ind w:firstLine="0" w:firstLineChars="0"/>
        <w:jc w:val="center"/>
        <w:rPr>
          <w:rFonts w:hint="eastAsia" w:ascii="宋体" w:hAnsi="宋体" w:eastAsia="宋体" w:cs="宋体"/>
          <w:b/>
          <w:bCs/>
          <w:color w:val="auto"/>
          <w:kern w:val="0"/>
          <w:sz w:val="31"/>
          <w:szCs w:val="31"/>
          <w:highlight w:val="none"/>
        </w:rPr>
      </w:pPr>
    </w:p>
    <w:p w14:paraId="2A45A0CE">
      <w:pPr>
        <w:ind w:firstLine="0" w:firstLineChars="0"/>
        <w:jc w:val="center"/>
        <w:rPr>
          <w:rFonts w:hint="eastAsia" w:ascii="宋体" w:hAnsi="宋体" w:eastAsia="宋体" w:cs="宋体"/>
          <w:b/>
          <w:bCs/>
          <w:color w:val="auto"/>
          <w:kern w:val="0"/>
          <w:sz w:val="31"/>
          <w:szCs w:val="31"/>
          <w:highlight w:val="none"/>
        </w:rPr>
      </w:pPr>
    </w:p>
    <w:p w14:paraId="5E9F4995">
      <w:pPr>
        <w:ind w:firstLine="0" w:firstLineChars="0"/>
        <w:jc w:val="center"/>
        <w:rPr>
          <w:rFonts w:hint="eastAsia" w:ascii="宋体" w:hAnsi="宋体" w:eastAsia="宋体" w:cs="宋体"/>
          <w:b/>
          <w:bCs/>
          <w:color w:val="auto"/>
          <w:kern w:val="0"/>
          <w:sz w:val="31"/>
          <w:szCs w:val="31"/>
          <w:highlight w:val="none"/>
        </w:rPr>
      </w:pPr>
    </w:p>
    <w:p w14:paraId="2A29B283">
      <w:pPr>
        <w:ind w:firstLine="0" w:firstLineChars="0"/>
        <w:jc w:val="center"/>
        <w:rPr>
          <w:rFonts w:hint="eastAsia" w:ascii="宋体" w:hAnsi="宋体" w:eastAsia="宋体" w:cs="宋体"/>
          <w:b/>
          <w:bCs/>
          <w:color w:val="auto"/>
          <w:kern w:val="0"/>
          <w:sz w:val="31"/>
          <w:szCs w:val="31"/>
          <w:highlight w:val="none"/>
        </w:rPr>
      </w:pPr>
    </w:p>
    <w:p w14:paraId="47C8A211">
      <w:pPr>
        <w:ind w:firstLine="0" w:firstLineChars="0"/>
        <w:jc w:val="center"/>
        <w:rPr>
          <w:rFonts w:hint="eastAsia" w:ascii="宋体" w:hAnsi="宋体" w:eastAsia="宋体" w:cs="宋体"/>
          <w:b/>
          <w:bCs/>
          <w:color w:val="auto"/>
          <w:kern w:val="0"/>
          <w:sz w:val="31"/>
          <w:szCs w:val="31"/>
          <w:highlight w:val="none"/>
        </w:rPr>
      </w:pPr>
    </w:p>
    <w:p w14:paraId="34C7C9CA">
      <w:pPr>
        <w:pStyle w:val="2"/>
        <w:keepNext/>
        <w:keepLines/>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eastAsia" w:ascii="宋体" w:hAnsi="宋体" w:eastAsia="宋体" w:cs="宋体"/>
          <w:b/>
          <w:bCs/>
          <w:color w:val="auto"/>
          <w:kern w:val="0"/>
          <w:sz w:val="31"/>
          <w:szCs w:val="31"/>
          <w:highlight w:val="none"/>
          <w:lang w:val="en-US" w:eastAsia="zh-CN"/>
        </w:rPr>
      </w:pPr>
      <w:bookmarkStart w:id="16" w:name="_Toc5802"/>
      <w:r>
        <w:rPr>
          <w:rFonts w:hint="eastAsia" w:ascii="宋体" w:hAnsi="宋体" w:eastAsia="宋体" w:cs="宋体"/>
          <w:b/>
          <w:bCs/>
          <w:color w:val="auto"/>
          <w:kern w:val="0"/>
          <w:sz w:val="31"/>
          <w:szCs w:val="31"/>
          <w:highlight w:val="none"/>
          <w:lang w:val="en-US" w:eastAsia="zh-CN"/>
        </w:rPr>
        <w:t>第四章 合同条款及格式</w:t>
      </w:r>
      <w:bookmarkEnd w:id="15"/>
      <w:bookmarkEnd w:id="16"/>
    </w:p>
    <w:p w14:paraId="14312696">
      <w:pPr>
        <w:ind w:firstLine="0" w:firstLineChars="0"/>
        <w:jc w:val="center"/>
        <w:rPr>
          <w:rFonts w:hint="eastAsia" w:ascii="宋体" w:hAnsi="宋体" w:eastAsia="宋体" w:cs="宋体"/>
          <w:color w:val="auto"/>
          <w:highlight w:val="none"/>
        </w:rPr>
        <w:sectPr>
          <w:footerReference r:id="rId7" w:type="default"/>
          <w:pgSz w:w="11905" w:h="16838"/>
          <w:pgMar w:top="1417" w:right="1417" w:bottom="1417" w:left="1417" w:header="720" w:footer="720" w:gutter="0"/>
          <w:pgNumType w:start="1"/>
          <w:cols w:space="720" w:num="1"/>
          <w:docGrid w:linePitch="285" w:charSpace="0"/>
        </w:sectPr>
      </w:pPr>
      <w:r>
        <w:rPr>
          <w:rFonts w:hint="eastAsia" w:ascii="宋体" w:hAnsi="宋体" w:eastAsia="宋体" w:cs="宋体"/>
          <w:b/>
          <w:bCs/>
          <w:color w:val="auto"/>
          <w:kern w:val="0"/>
          <w:sz w:val="31"/>
          <w:szCs w:val="31"/>
          <w:highlight w:val="none"/>
        </w:rPr>
        <w:t xml:space="preserve">（合同仅供参考，具体以实际签订合同为准） </w:t>
      </w:r>
      <w:bookmarkEnd w:id="9"/>
      <w:bookmarkEnd w:id="10"/>
      <w:bookmarkEnd w:id="11"/>
      <w:bookmarkStart w:id="17" w:name="_Toc14707"/>
    </w:p>
    <w:bookmarkEnd w:id="17"/>
    <w:p w14:paraId="458744C1">
      <w:pPr>
        <w:pStyle w:val="2"/>
        <w:keepNext/>
        <w:keepLines/>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eastAsia" w:ascii="宋体" w:hAnsi="宋体" w:eastAsia="宋体" w:cs="宋体"/>
          <w:b/>
          <w:bCs/>
          <w:color w:val="auto"/>
          <w:kern w:val="0"/>
          <w:sz w:val="31"/>
          <w:szCs w:val="31"/>
          <w:highlight w:val="none"/>
          <w:lang w:val="en-US" w:eastAsia="zh-CN"/>
        </w:rPr>
      </w:pPr>
      <w:bookmarkStart w:id="18" w:name="_Toc1090"/>
      <w:r>
        <w:rPr>
          <w:rFonts w:hint="eastAsia" w:ascii="宋体" w:hAnsi="宋体" w:eastAsia="宋体" w:cs="宋体"/>
          <w:b/>
          <w:bCs/>
          <w:color w:val="auto"/>
          <w:kern w:val="0"/>
          <w:sz w:val="31"/>
          <w:szCs w:val="31"/>
          <w:highlight w:val="none"/>
          <w:lang w:val="en-US" w:eastAsia="zh-CN"/>
        </w:rPr>
        <w:t>第五章 采购内容及要求</w:t>
      </w:r>
      <w:bookmarkEnd w:id="18"/>
    </w:p>
    <w:p w14:paraId="621914FF">
      <w:pPr>
        <w:widowControl/>
        <w:ind w:left="0" w:leftChars="0" w:firstLine="482" w:firstLineChars="200"/>
        <w:rPr>
          <w:rFonts w:hint="default"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rPr>
        <w:t>一、采购内容</w:t>
      </w:r>
      <w:bookmarkStart w:id="19" w:name="_Toc407182664"/>
      <w:bookmarkStart w:id="20" w:name="_Toc21051"/>
    </w:p>
    <w:p w14:paraId="7B2656A1">
      <w:pPr>
        <w:widowControl/>
        <w:numPr>
          <w:ilvl w:val="0"/>
          <w:numId w:val="0"/>
        </w:numPr>
        <w:ind w:firstLine="482" w:firstLineChars="200"/>
        <w:rPr>
          <w:rFonts w:hint="default" w:ascii="宋体" w:hAnsi="宋体" w:eastAsia="宋体" w:cs="宋体"/>
          <w:b/>
          <w:bCs/>
          <w:color w:val="auto"/>
          <w:highlight w:val="none"/>
          <w:u w:val="none"/>
          <w:shd w:val="clear" w:color="auto" w:fill="FFFFFF"/>
          <w:lang w:val="en-US" w:eastAsia="zh-CN"/>
        </w:rPr>
      </w:pPr>
      <w:r>
        <w:rPr>
          <w:rFonts w:hint="eastAsia" w:ascii="宋体" w:hAnsi="宋体" w:eastAsia="宋体" w:cs="宋体"/>
          <w:b/>
          <w:bCs/>
          <w:color w:val="auto"/>
          <w:highlight w:val="none"/>
          <w:u w:val="none"/>
          <w:shd w:val="clear" w:color="auto" w:fill="FFFFFF"/>
          <w:lang w:eastAsia="zh-CN"/>
        </w:rPr>
        <w:t>播州区排水管网改建(二期)项目新增土寨工程材料(纳米合金管)采购</w:t>
      </w:r>
    </w:p>
    <w:p w14:paraId="24F61FCD">
      <w:pPr>
        <w:widowControl/>
        <w:numPr>
          <w:ilvl w:val="0"/>
          <w:numId w:val="2"/>
        </w:numPr>
        <w:ind w:firstLine="482" w:firstLineChars="200"/>
        <w:rPr>
          <w:rFonts w:hint="eastAsia" w:ascii="宋体" w:hAnsi="宋体" w:eastAsia="宋体" w:cs="宋体"/>
          <w:b/>
          <w:bCs/>
          <w:color w:val="auto"/>
          <w:kern w:val="0"/>
          <w:highlight w:val="none"/>
          <w:lang w:val="en-US" w:eastAsia="zh-CN"/>
        </w:rPr>
      </w:pPr>
      <w:r>
        <w:rPr>
          <w:rFonts w:hint="eastAsia" w:ascii="宋体" w:hAnsi="宋体" w:eastAsia="宋体" w:cs="宋体"/>
          <w:b/>
          <w:bCs/>
          <w:color w:val="auto"/>
          <w:kern w:val="0"/>
          <w:highlight w:val="none"/>
          <w:lang w:val="en-US" w:eastAsia="zh-CN"/>
        </w:rPr>
        <w:t>采购清单及限价</w:t>
      </w: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2"/>
        <w:gridCol w:w="3510"/>
        <w:gridCol w:w="1660"/>
        <w:gridCol w:w="762"/>
        <w:gridCol w:w="1325"/>
        <w:gridCol w:w="1836"/>
        <w:gridCol w:w="1919"/>
        <w:gridCol w:w="1026"/>
        <w:gridCol w:w="1339"/>
      </w:tblGrid>
      <w:tr w14:paraId="08C7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blHeader/>
        </w:trPr>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08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序号</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4E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材料名称</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22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规格型号</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6D6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计量单位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8E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数量</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8B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项目控制不含税单价（元）</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FF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项目控制不含税合计（元）</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65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rPr>
            </w:pPr>
            <w:r>
              <w:rPr>
                <w:rFonts w:hint="eastAsia" w:ascii="宋体" w:hAnsi="宋体" w:eastAsia="宋体" w:cs="宋体"/>
                <w:b/>
                <w:bCs/>
                <w:i w:val="0"/>
                <w:iCs w:val="0"/>
                <w:color w:val="000000"/>
                <w:kern w:val="0"/>
                <w:sz w:val="24"/>
                <w:szCs w:val="24"/>
                <w:highlight w:val="none"/>
                <w:u w:val="none"/>
                <w:lang w:val="en-US" w:eastAsia="zh-CN"/>
              </w:rPr>
              <w:t>税率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A80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备注</w:t>
            </w:r>
          </w:p>
        </w:tc>
      </w:tr>
      <w:tr w14:paraId="4F7F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3" w:type="pct"/>
            <w:tcBorders>
              <w:top w:val="nil"/>
              <w:left w:val="single" w:color="000000" w:sz="4" w:space="0"/>
              <w:bottom w:val="single" w:color="000000" w:sz="4" w:space="0"/>
              <w:right w:val="single" w:color="000000" w:sz="4" w:space="0"/>
            </w:tcBorders>
            <w:shd w:val="clear" w:color="auto" w:fill="FFFFFF"/>
            <w:vAlign w:val="center"/>
          </w:tcPr>
          <w:p w14:paraId="613157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E47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纳米合金管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FB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DN600(SN12.5)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418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FA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1300.00 </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8D0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450.00 </w:t>
            </w:r>
          </w:p>
        </w:tc>
        <w:tc>
          <w:tcPr>
            <w:tcW w:w="675" w:type="pct"/>
            <w:tcBorders>
              <w:top w:val="nil"/>
              <w:left w:val="single" w:color="000000" w:sz="4" w:space="0"/>
              <w:bottom w:val="single" w:color="000000" w:sz="4" w:space="0"/>
              <w:right w:val="single" w:color="000000" w:sz="4" w:space="0"/>
            </w:tcBorders>
            <w:shd w:val="clear" w:color="auto" w:fill="FFFFFF"/>
            <w:vAlign w:val="center"/>
          </w:tcPr>
          <w:p w14:paraId="396C9E0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 xml:space="preserve">58500.00 </w:t>
            </w:r>
          </w:p>
        </w:tc>
        <w:tc>
          <w:tcPr>
            <w:tcW w:w="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B58F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13%</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5557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预估数量据实结算</w:t>
            </w:r>
          </w:p>
        </w:tc>
      </w:tr>
      <w:tr w14:paraId="02E7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7D363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rPr>
              <w:t>合计</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E2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rPr>
              <w:t xml:space="preserve">585000.00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C15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4"/>
                <w:szCs w:val="24"/>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B78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4"/>
                <w:szCs w:val="24"/>
                <w:highlight w:val="none"/>
                <w:u w:val="none"/>
              </w:rPr>
            </w:pPr>
          </w:p>
        </w:tc>
      </w:tr>
    </w:tbl>
    <w:p w14:paraId="359CFC22">
      <w:pPr>
        <w:widowControl/>
        <w:numPr>
          <w:ilvl w:val="0"/>
          <w:numId w:val="0"/>
        </w:numPr>
        <w:rPr>
          <w:rFonts w:hint="eastAsia" w:ascii="宋体" w:hAnsi="宋体" w:eastAsia="宋体" w:cs="宋体"/>
          <w:b/>
          <w:bCs/>
          <w:color w:val="auto"/>
          <w:kern w:val="0"/>
          <w:highlight w:val="none"/>
          <w:lang w:val="en-US" w:eastAsia="zh-CN"/>
        </w:rPr>
      </w:pPr>
    </w:p>
    <w:p w14:paraId="1160996C">
      <w:pPr>
        <w:widowControl/>
        <w:numPr>
          <w:ilvl w:val="0"/>
          <w:numId w:val="0"/>
        </w:numPr>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lang w:val="en-US" w:eastAsia="zh-CN"/>
        </w:rPr>
        <w:t xml:space="preserve">    </w:t>
      </w:r>
      <w:r>
        <w:rPr>
          <w:rFonts w:hint="eastAsia" w:ascii="宋体" w:hAnsi="宋体" w:eastAsia="宋体" w:cs="宋体"/>
          <w:b/>
          <w:bCs/>
          <w:color w:val="auto"/>
          <w:kern w:val="0"/>
          <w:highlight w:val="none"/>
          <w:lang w:eastAsia="zh-CN"/>
        </w:rPr>
        <w:t>三</w:t>
      </w:r>
      <w:r>
        <w:rPr>
          <w:rFonts w:hint="eastAsia" w:ascii="宋体" w:hAnsi="宋体" w:eastAsia="宋体" w:cs="宋体"/>
          <w:b/>
          <w:bCs/>
          <w:color w:val="auto"/>
          <w:kern w:val="0"/>
          <w:highlight w:val="none"/>
        </w:rPr>
        <w:t>、商务要求</w:t>
      </w:r>
    </w:p>
    <w:bookmarkEnd w:id="19"/>
    <w:bookmarkEnd w:id="20"/>
    <w:p w14:paraId="5050FB55">
      <w:pPr>
        <w:widowControl/>
        <w:ind w:left="0" w:leftChars="0" w:firstLine="480" w:firstLineChars="200"/>
        <w:rPr>
          <w:rFonts w:hint="eastAsia" w:ascii="宋体" w:hAnsi="宋体" w:eastAsia="宋体" w:cs="宋体"/>
          <w:color w:val="auto"/>
          <w:kern w:val="0"/>
          <w:highlight w:val="none"/>
        </w:rPr>
      </w:pPr>
      <w:bookmarkStart w:id="21" w:name="_Toc407182688"/>
      <w:bookmarkStart w:id="22" w:name="_Toc407169896"/>
      <w:bookmarkStart w:id="23" w:name="_Toc12228"/>
      <w:bookmarkStart w:id="24" w:name="_Toc5370"/>
      <w:r>
        <w:rPr>
          <w:rFonts w:hint="eastAsia" w:ascii="宋体" w:hAnsi="宋体" w:eastAsia="宋体" w:cs="宋体"/>
          <w:color w:val="auto"/>
          <w:kern w:val="0"/>
          <w:highlight w:val="none"/>
        </w:rPr>
        <w:t>1.合同类型：单价合同，最终以核算工程量据实结算；</w:t>
      </w:r>
    </w:p>
    <w:p w14:paraId="167299FA">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2.合同文件主要条款</w:t>
      </w:r>
    </w:p>
    <w:p w14:paraId="0DA51C35">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（1）工期：以采购人下达的实际通知时间为准；</w:t>
      </w:r>
    </w:p>
    <w:p w14:paraId="6058997E">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（2）服务地点：采购人指定地点；</w:t>
      </w:r>
    </w:p>
    <w:p w14:paraId="0F7B19FC">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（3）（服务）质量要求：满足设计要求，符合国家材料质量检测标准。。</w:t>
      </w:r>
    </w:p>
    <w:p w14:paraId="47A1F7D2">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（4）为确保项目正常施工，采购方可根据项目实际情况新增一家或多家供应商同时供应，供应方必须无条件接受，采购方不承担违约责任。</w:t>
      </w:r>
    </w:p>
    <w:p w14:paraId="5B253783">
      <w:pPr>
        <w:widowControl/>
        <w:ind w:left="0" w:leftChars="0" w:firstLine="480" w:firstLineChars="200"/>
        <w:rPr>
          <w:rFonts w:hint="eastAsia" w:ascii="宋体" w:hAnsi="宋体" w:eastAsia="宋体" w:cs="宋体"/>
          <w:color w:val="auto"/>
          <w:kern w:val="0"/>
          <w:highlight w:val="yellow"/>
        </w:rPr>
      </w:pPr>
      <w:r>
        <w:rPr>
          <w:rFonts w:hint="eastAsia" w:ascii="宋体" w:hAnsi="宋体" w:eastAsia="宋体" w:cs="宋体"/>
          <w:color w:val="auto"/>
          <w:kern w:val="0"/>
          <w:highlight w:val="none"/>
        </w:rPr>
        <w:t>（5）支付方式：</w:t>
      </w:r>
      <w:r>
        <w:rPr>
          <w:rFonts w:hint="eastAsia" w:ascii="宋体" w:hAnsi="宋体" w:eastAsia="宋体" w:cs="宋体"/>
          <w:color w:val="auto"/>
          <w:kern w:val="0"/>
          <w:highlight w:val="yellow"/>
        </w:rPr>
        <w:t>月结80%，剩余20%下月滚动支付。具体以实际签订合同为准。</w:t>
      </w:r>
    </w:p>
    <w:p w14:paraId="13AAD98A">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（6）其他未尽事宜：具体以合同为准。</w:t>
      </w:r>
    </w:p>
    <w:p w14:paraId="6F1615F7">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（7）凡是采购清单中所涉及到的品牌、规格、型号，均为参考标准，并非指定，供应商所供产品的技术参数满足或优于采购人要求即可。</w:t>
      </w:r>
    </w:p>
    <w:p w14:paraId="1622FA37">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（8）投标人需自行核对单价与总价的一致性，中标后若发现报价组成有误（单价存在偏差或合计计算有误），将按单价进行修正，修正规则如下：</w:t>
      </w:r>
    </w:p>
    <w:p w14:paraId="7DB2CEC7">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①若修正后整体合价超过投标总价（即投标函报价），超出部分不计入合同总价，需通过调整分项单价予以修正。</w:t>
      </w:r>
    </w:p>
    <w:p w14:paraId="1E611DF0">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操作步骤：</w:t>
      </w:r>
    </w:p>
    <w:p w14:paraId="34E9EA78">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a.计算调整系数：调整系数=投标总价÷栏标总价（系数&lt;1）。</w:t>
      </w:r>
    </w:p>
    <w:p w14:paraId="03E9D3AF">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b.修正后各分项单价=栏标各项单价×调整系数。</w:t>
      </w:r>
    </w:p>
    <w:p w14:paraId="2CA09029">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c.重新计算合价，确保修正后总价与投标总价一致。</w:t>
      </w:r>
    </w:p>
    <w:p w14:paraId="2262B053">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合同条款中应明确：“**部分单价已按等比例系数**调整，结算时按调整后单价×实际工程量执行。</w:t>
      </w:r>
    </w:p>
    <w:p w14:paraId="53BEC8C6">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②若修正后整体总价小于投标总价（即投标函报价），合同签约总价为修正后总价。</w:t>
      </w:r>
    </w:p>
    <w:p w14:paraId="36400302">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（9）签订合同时发现部分单价超过栏标单价（限制单价），超过部分不计入合同总价，签订合同时以拦标单价修正后签订合同。</w:t>
      </w:r>
    </w:p>
    <w:p w14:paraId="72D3CF33">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0</w:t>
      </w:r>
      <w:r>
        <w:rPr>
          <w:rFonts w:hint="eastAsia" w:ascii="宋体" w:hAnsi="宋体" w:eastAsia="宋体" w:cs="宋体"/>
          <w:color w:val="auto"/>
          <w:kern w:val="0"/>
          <w:highlight w:val="none"/>
        </w:rPr>
        <w:t>）供应商所提供的响应文件（包括一切技术资料、技术承诺、商务承诺等）均应真实有效，若在项目采购过程中（包括响应报价、中标公示过程）及履行合同期间（包括验收、使用过程）发现你公司服务与投标响应（文件）不一致，提供了不真实的响应文件（虚假材料），我司可以作出取消你司成交资格、罚没保证金等决定，你司不得有异议。</w:t>
      </w:r>
    </w:p>
    <w:p w14:paraId="0EF8C9D5">
      <w:pPr>
        <w:widowControl/>
        <w:ind w:left="0" w:leftChars="0" w:firstLine="48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yellow"/>
        </w:rPr>
        <w:t>（1</w:t>
      </w:r>
      <w:r>
        <w:rPr>
          <w:rFonts w:hint="eastAsia" w:ascii="宋体" w:hAnsi="宋体" w:eastAsia="宋体" w:cs="宋体"/>
          <w:color w:val="auto"/>
          <w:kern w:val="0"/>
          <w:highlight w:val="yellow"/>
          <w:lang w:val="en-US" w:eastAsia="zh-CN"/>
        </w:rPr>
        <w:t>1</w:t>
      </w:r>
      <w:r>
        <w:rPr>
          <w:rFonts w:hint="eastAsia" w:ascii="宋体" w:hAnsi="宋体" w:eastAsia="宋体" w:cs="宋体"/>
          <w:color w:val="auto"/>
          <w:kern w:val="0"/>
          <w:highlight w:val="yellow"/>
        </w:rPr>
        <w:t>）其他要求：最小层压壁厚，环刚度，环柔性，落锤冲击试验，烘箱试验，0IT氧化诱导时间，达到检测标准。</w:t>
      </w:r>
      <w:r>
        <w:rPr>
          <w:rFonts w:hint="eastAsia" w:ascii="宋体" w:hAnsi="宋体" w:eastAsia="宋体" w:cs="宋体"/>
          <w:color w:val="auto"/>
          <w:kern w:val="0"/>
          <w:highlight w:val="none"/>
        </w:rPr>
        <w:br w:type="page"/>
      </w:r>
    </w:p>
    <w:p w14:paraId="37B5C30E">
      <w:pPr>
        <w:ind w:firstLine="0" w:firstLineChars="0"/>
        <w:jc w:val="center"/>
        <w:outlineLvl w:val="0"/>
        <w:rPr>
          <w:rFonts w:hint="eastAsia" w:ascii="宋体" w:hAnsi="宋体" w:eastAsia="宋体" w:cs="宋体"/>
          <w:b/>
          <w:bCs/>
          <w:color w:val="auto"/>
          <w:kern w:val="0"/>
          <w:sz w:val="31"/>
          <w:szCs w:val="31"/>
          <w:highlight w:val="none"/>
        </w:rPr>
        <w:sectPr>
          <w:pgSz w:w="16838" w:h="11905" w:orient="landscape"/>
          <w:pgMar w:top="1417" w:right="1417" w:bottom="1417" w:left="1417" w:header="720" w:footer="720" w:gutter="0"/>
          <w:cols w:space="720" w:num="1"/>
          <w:docGrid w:linePitch="285" w:charSpace="0"/>
        </w:sectPr>
      </w:pPr>
    </w:p>
    <w:p w14:paraId="1117378F">
      <w:pPr>
        <w:pStyle w:val="2"/>
        <w:keepNext/>
        <w:keepLines/>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eastAsia" w:ascii="宋体" w:hAnsi="宋体" w:eastAsia="宋体" w:cs="宋体"/>
          <w:b/>
          <w:bCs/>
          <w:color w:val="auto"/>
          <w:kern w:val="0"/>
          <w:sz w:val="31"/>
          <w:szCs w:val="31"/>
          <w:highlight w:val="none"/>
          <w:lang w:val="en-US" w:eastAsia="zh-CN"/>
        </w:rPr>
      </w:pPr>
      <w:bookmarkStart w:id="25" w:name="_Toc3935"/>
      <w:r>
        <w:rPr>
          <w:rFonts w:hint="eastAsia" w:ascii="宋体" w:hAnsi="宋体" w:eastAsia="宋体" w:cs="宋体"/>
          <w:b/>
          <w:bCs/>
          <w:color w:val="auto"/>
          <w:kern w:val="0"/>
          <w:sz w:val="31"/>
          <w:szCs w:val="31"/>
          <w:highlight w:val="none"/>
          <w:lang w:val="en-US" w:eastAsia="zh-CN"/>
        </w:rPr>
        <w:t xml:space="preserve">第六章 </w:t>
      </w:r>
      <w:bookmarkEnd w:id="21"/>
      <w:bookmarkEnd w:id="22"/>
      <w:bookmarkEnd w:id="23"/>
      <w:r>
        <w:rPr>
          <w:rFonts w:hint="eastAsia" w:ascii="宋体" w:hAnsi="宋体" w:eastAsia="宋体" w:cs="宋体"/>
          <w:b/>
          <w:bCs/>
          <w:color w:val="auto"/>
          <w:kern w:val="0"/>
          <w:sz w:val="31"/>
          <w:szCs w:val="31"/>
          <w:highlight w:val="none"/>
          <w:lang w:val="en-US" w:eastAsia="zh-CN"/>
        </w:rPr>
        <w:t>响应文件格式</w:t>
      </w:r>
      <w:bookmarkEnd w:id="24"/>
      <w:bookmarkEnd w:id="25"/>
    </w:p>
    <w:p w14:paraId="48DE18E4">
      <w:pPr>
        <w:pStyle w:val="4"/>
        <w:ind w:firstLine="3600" w:firstLineChars="900"/>
        <w:rPr>
          <w:rFonts w:hint="default" w:ascii="宋体" w:hAnsi="宋体" w:eastAsia="宋体" w:cs="宋体"/>
          <w:bCs/>
          <w:color w:val="auto"/>
          <w:sz w:val="40"/>
          <w:szCs w:val="44"/>
          <w:highlight w:val="none"/>
          <w:lang w:val="en-US"/>
        </w:rPr>
      </w:pPr>
      <w:r>
        <w:rPr>
          <w:rFonts w:hint="eastAsia" w:ascii="宋体" w:hAnsi="宋体" w:cs="宋体"/>
          <w:bCs/>
          <w:color w:val="auto"/>
          <w:kern w:val="0"/>
          <w:sz w:val="40"/>
          <w:szCs w:val="44"/>
          <w:highlight w:val="none"/>
          <w:lang w:eastAsia="zh-CN"/>
        </w:rPr>
        <w:t>（</w:t>
      </w:r>
      <w:r>
        <w:rPr>
          <w:rFonts w:hint="eastAsia" w:ascii="宋体" w:hAnsi="宋体" w:cs="宋体"/>
          <w:bCs/>
          <w:color w:val="auto"/>
          <w:kern w:val="0"/>
          <w:sz w:val="40"/>
          <w:szCs w:val="44"/>
          <w:highlight w:val="none"/>
          <w:lang w:val="en-US" w:eastAsia="zh-CN"/>
        </w:rPr>
        <w:t>项目名称）</w:t>
      </w:r>
    </w:p>
    <w:p w14:paraId="51E8683F">
      <w:pPr>
        <w:ind w:firstLine="480"/>
        <w:rPr>
          <w:rFonts w:hint="eastAsia" w:ascii="宋体" w:hAnsi="宋体" w:eastAsia="宋体" w:cs="宋体"/>
          <w:color w:val="auto"/>
          <w:highlight w:val="none"/>
        </w:rPr>
      </w:pPr>
    </w:p>
    <w:p w14:paraId="53F6EFD4">
      <w:pPr>
        <w:spacing w:before="120" w:beforeLines="50" w:after="120" w:afterLines="50" w:line="240" w:lineRule="auto"/>
        <w:ind w:firstLine="0" w:firstLineChars="0"/>
        <w:jc w:val="center"/>
        <w:rPr>
          <w:rFonts w:hint="eastAsia" w:ascii="宋体" w:hAnsi="宋体" w:eastAsia="宋体" w:cs="宋体"/>
          <w:color w:val="auto"/>
          <w:spacing w:val="40"/>
          <w:w w:val="110"/>
          <w:sz w:val="36"/>
          <w:szCs w:val="36"/>
          <w:highlight w:val="none"/>
        </w:rPr>
      </w:pPr>
    </w:p>
    <w:p w14:paraId="2A42CDBD">
      <w:pPr>
        <w:spacing w:before="120" w:beforeLines="50" w:after="120" w:afterLines="50" w:line="240" w:lineRule="auto"/>
        <w:ind w:firstLine="0" w:firstLineChars="0"/>
        <w:jc w:val="center"/>
        <w:rPr>
          <w:rFonts w:hint="eastAsia" w:ascii="宋体" w:hAnsi="宋体" w:eastAsia="宋体" w:cs="宋体"/>
          <w:color w:val="auto"/>
          <w:spacing w:val="40"/>
          <w:w w:val="110"/>
          <w:sz w:val="36"/>
          <w:szCs w:val="36"/>
          <w:highlight w:val="none"/>
        </w:rPr>
      </w:pPr>
    </w:p>
    <w:p w14:paraId="5253D291">
      <w:pPr>
        <w:spacing w:before="120" w:beforeLines="50" w:after="120" w:afterLines="50" w:line="240" w:lineRule="auto"/>
        <w:ind w:firstLine="0" w:firstLineChars="0"/>
        <w:jc w:val="center"/>
        <w:rPr>
          <w:rFonts w:hint="eastAsia" w:ascii="宋体" w:hAnsi="宋体" w:eastAsia="宋体" w:cs="宋体"/>
          <w:color w:val="auto"/>
          <w:spacing w:val="40"/>
          <w:w w:val="110"/>
          <w:sz w:val="52"/>
          <w:szCs w:val="52"/>
          <w:highlight w:val="none"/>
        </w:rPr>
      </w:pPr>
      <w:r>
        <w:rPr>
          <w:rFonts w:hint="eastAsia" w:ascii="宋体" w:hAnsi="宋体" w:eastAsia="宋体" w:cs="宋体"/>
          <w:color w:val="auto"/>
          <w:spacing w:val="40"/>
          <w:w w:val="110"/>
          <w:sz w:val="44"/>
          <w:szCs w:val="44"/>
          <w:highlight w:val="none"/>
        </w:rPr>
        <w:t>响应文件</w:t>
      </w:r>
    </w:p>
    <w:p w14:paraId="0ADD6602">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519714FF">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0B8FC613">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706F10CF">
      <w:pPr>
        <w:pStyle w:val="4"/>
        <w:ind w:firstLine="400"/>
        <w:rPr>
          <w:rFonts w:hint="eastAsia" w:ascii="宋体" w:hAnsi="宋体" w:eastAsia="宋体" w:cs="宋体"/>
          <w:color w:val="auto"/>
          <w:highlight w:val="none"/>
        </w:rPr>
      </w:pPr>
    </w:p>
    <w:p w14:paraId="0A81EF93">
      <w:pPr>
        <w:ind w:firstLine="480"/>
        <w:rPr>
          <w:rFonts w:hint="eastAsia" w:ascii="宋体" w:hAnsi="宋体" w:eastAsia="宋体" w:cs="宋体"/>
          <w:color w:val="auto"/>
          <w:highlight w:val="none"/>
        </w:rPr>
      </w:pPr>
    </w:p>
    <w:p w14:paraId="6124D4F3">
      <w:pPr>
        <w:pStyle w:val="4"/>
        <w:ind w:firstLine="400"/>
        <w:rPr>
          <w:rFonts w:hint="eastAsia" w:ascii="宋体" w:hAnsi="宋体" w:eastAsia="宋体" w:cs="宋体"/>
          <w:color w:val="auto"/>
          <w:highlight w:val="none"/>
        </w:rPr>
      </w:pPr>
    </w:p>
    <w:tbl>
      <w:tblPr>
        <w:tblStyle w:val="12"/>
        <w:tblW w:w="0" w:type="auto"/>
        <w:jc w:val="center"/>
        <w:tblLayout w:type="fixed"/>
        <w:tblCellMar>
          <w:top w:w="0" w:type="dxa"/>
          <w:left w:w="108" w:type="dxa"/>
          <w:bottom w:w="0" w:type="dxa"/>
          <w:right w:w="108" w:type="dxa"/>
        </w:tblCellMar>
      </w:tblPr>
      <w:tblGrid>
        <w:gridCol w:w="1601"/>
        <w:gridCol w:w="6172"/>
      </w:tblGrid>
      <w:tr w14:paraId="0E598D4A">
        <w:tblPrEx>
          <w:tblCellMar>
            <w:top w:w="0" w:type="dxa"/>
            <w:left w:w="108" w:type="dxa"/>
            <w:bottom w:w="0" w:type="dxa"/>
            <w:right w:w="108" w:type="dxa"/>
          </w:tblCellMar>
        </w:tblPrEx>
        <w:trPr>
          <w:jc w:val="center"/>
        </w:trPr>
        <w:tc>
          <w:tcPr>
            <w:tcW w:w="1601" w:type="dxa"/>
            <w:vAlign w:val="bottom"/>
          </w:tcPr>
          <w:p w14:paraId="4BE4A851">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招标编号：</w:t>
            </w:r>
          </w:p>
        </w:tc>
        <w:tc>
          <w:tcPr>
            <w:tcW w:w="6172" w:type="dxa"/>
            <w:tcBorders>
              <w:top w:val="single" w:color="000000" w:sz="4" w:space="0"/>
              <w:bottom w:val="single" w:color="000000" w:sz="4" w:space="0"/>
            </w:tcBorders>
            <w:vAlign w:val="bottom"/>
          </w:tcPr>
          <w:p w14:paraId="0CA67824">
            <w:pPr>
              <w:ind w:firstLine="0" w:firstLineChars="0"/>
              <w:rPr>
                <w:rFonts w:hint="eastAsia" w:ascii="宋体" w:hAnsi="宋体" w:eastAsia="宋体" w:cs="宋体"/>
                <w:color w:val="auto"/>
                <w:highlight w:val="none"/>
              </w:rPr>
            </w:pPr>
          </w:p>
        </w:tc>
      </w:tr>
      <w:tr w14:paraId="744BE31C">
        <w:tblPrEx>
          <w:tblCellMar>
            <w:top w:w="0" w:type="dxa"/>
            <w:left w:w="108" w:type="dxa"/>
            <w:bottom w:w="0" w:type="dxa"/>
            <w:right w:w="108" w:type="dxa"/>
          </w:tblCellMar>
        </w:tblPrEx>
        <w:trPr>
          <w:jc w:val="center"/>
        </w:trPr>
        <w:tc>
          <w:tcPr>
            <w:tcW w:w="1601" w:type="dxa"/>
            <w:vAlign w:val="bottom"/>
          </w:tcPr>
          <w:p w14:paraId="5C01F0EF">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w:t>
            </w:r>
          </w:p>
        </w:tc>
        <w:tc>
          <w:tcPr>
            <w:tcW w:w="6172" w:type="dxa"/>
            <w:tcBorders>
              <w:top w:val="single" w:color="000000" w:sz="4" w:space="0"/>
              <w:bottom w:val="single" w:color="000000" w:sz="4" w:space="0"/>
            </w:tcBorders>
            <w:vAlign w:val="bottom"/>
          </w:tcPr>
          <w:p w14:paraId="7D8D3A4A">
            <w:pPr>
              <w:ind w:firstLine="0" w:firstLineChars="0"/>
              <w:rPr>
                <w:rFonts w:hint="eastAsia" w:ascii="宋体" w:hAnsi="宋体" w:eastAsia="宋体" w:cs="宋体"/>
                <w:color w:val="auto"/>
                <w:highlight w:val="none"/>
              </w:rPr>
            </w:pPr>
          </w:p>
        </w:tc>
      </w:tr>
    </w:tbl>
    <w:p w14:paraId="5BCB5243">
      <w:pPr>
        <w:spacing w:before="100" w:beforeAutospacing="1" w:after="100" w:afterAutospacing="1" w:line="580" w:lineRule="exact"/>
        <w:ind w:firstLine="0" w:firstLineChars="0"/>
        <w:jc w:val="center"/>
        <w:rPr>
          <w:rFonts w:hint="eastAsia" w:ascii="宋体" w:hAnsi="宋体" w:eastAsia="宋体" w:cs="宋体"/>
          <w:color w:val="auto"/>
          <w:highlight w:val="none"/>
        </w:rPr>
        <w:sectPr>
          <w:pgSz w:w="11905" w:h="16838"/>
          <w:pgMar w:top="1417" w:right="1417" w:bottom="1417" w:left="1417" w:header="720" w:footer="720" w:gutter="0"/>
          <w:cols w:space="720" w:num="1"/>
          <w:docGrid w:linePitch="285" w:charSpace="0"/>
        </w:sect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 月 日</w:t>
      </w:r>
    </w:p>
    <w:p w14:paraId="584D778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Style w:val="18"/>
          <w:rFonts w:hint="eastAsia" w:ascii="宋体" w:hAnsi="宋体" w:eastAsia="宋体" w:cs="宋体"/>
          <w:color w:val="auto"/>
          <w:highlight w:val="none"/>
        </w:rPr>
      </w:pPr>
      <w:r>
        <w:rPr>
          <w:rStyle w:val="18"/>
          <w:rFonts w:hint="eastAsia" w:ascii="宋体" w:hAnsi="宋体" w:eastAsia="宋体" w:cs="宋体"/>
          <w:color w:val="auto"/>
          <w:highlight w:val="none"/>
        </w:rPr>
        <w:t>目  录</w:t>
      </w:r>
    </w:p>
    <w:p w14:paraId="521A440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（目录格式可自拟，应注明对应页码）</w:t>
      </w:r>
    </w:p>
    <w:p w14:paraId="715FAB26">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一</w:t>
      </w:r>
      <w:r>
        <w:rPr>
          <w:rFonts w:hint="eastAsia" w:ascii="宋体" w:hAnsi="宋体" w:eastAsia="宋体" w:cs="宋体"/>
          <w:b/>
          <w:bCs w:val="0"/>
          <w:color w:val="auto"/>
          <w:highlight w:val="none"/>
        </w:rPr>
        <w:t xml:space="preserve">.投标函 </w:t>
      </w:r>
    </w:p>
    <w:p w14:paraId="0FDD286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二.</w:t>
      </w:r>
      <w:r>
        <w:rPr>
          <w:rFonts w:hint="eastAsia" w:ascii="宋体" w:hAnsi="宋体" w:eastAsia="宋体" w:cs="宋体"/>
          <w:b/>
          <w:bCs w:val="0"/>
          <w:color w:val="auto"/>
          <w:highlight w:val="none"/>
        </w:rPr>
        <w:t xml:space="preserve">法定代表人身份证明 </w:t>
      </w:r>
    </w:p>
    <w:p w14:paraId="34970272">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三</w:t>
      </w:r>
      <w:r>
        <w:rPr>
          <w:rFonts w:hint="eastAsia" w:ascii="宋体" w:hAnsi="宋体" w:eastAsia="宋体" w:cs="宋体"/>
          <w:b/>
          <w:bCs w:val="0"/>
          <w:color w:val="auto"/>
          <w:highlight w:val="none"/>
        </w:rPr>
        <w:t xml:space="preserve">.法定代表人授权委托书 </w:t>
      </w:r>
    </w:p>
    <w:p w14:paraId="1C2CE79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 xml:space="preserve">四.投标保证金 </w:t>
      </w:r>
    </w:p>
    <w:p w14:paraId="6250BCB6">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五.</w:t>
      </w:r>
      <w:r>
        <w:rPr>
          <w:rFonts w:hint="eastAsia" w:ascii="宋体" w:hAnsi="宋体" w:eastAsia="宋体" w:cs="宋体"/>
          <w:b/>
          <w:bCs w:val="0"/>
          <w:color w:val="auto"/>
          <w:highlight w:val="none"/>
        </w:rPr>
        <w:t xml:space="preserve">资格审查证明文件 </w:t>
      </w:r>
    </w:p>
    <w:p w14:paraId="232C80C3">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六</w:t>
      </w:r>
      <w:r>
        <w:rPr>
          <w:rFonts w:hint="eastAsia" w:ascii="宋体" w:hAnsi="宋体" w:eastAsia="宋体" w:cs="宋体"/>
          <w:b/>
          <w:bCs w:val="0"/>
          <w:color w:val="auto"/>
          <w:highlight w:val="none"/>
        </w:rPr>
        <w:t>.商务文件</w:t>
      </w:r>
    </w:p>
    <w:p w14:paraId="48D6ADF2">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七</w:t>
      </w:r>
      <w:r>
        <w:rPr>
          <w:rFonts w:hint="eastAsia" w:ascii="宋体" w:hAnsi="宋体" w:eastAsia="宋体" w:cs="宋体"/>
          <w:b/>
          <w:bCs w:val="0"/>
          <w:color w:val="auto"/>
          <w:highlight w:val="none"/>
        </w:rPr>
        <w:t>.投标供应商认为有必要提供的其他材料</w:t>
      </w:r>
    </w:p>
    <w:p w14:paraId="76BE644B">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八</w:t>
      </w:r>
      <w:r>
        <w:rPr>
          <w:rFonts w:hint="eastAsia" w:ascii="宋体" w:hAnsi="宋体" w:eastAsia="宋体" w:cs="宋体"/>
          <w:b/>
          <w:bCs w:val="0"/>
          <w:color w:val="auto"/>
          <w:highlight w:val="none"/>
        </w:rPr>
        <w:t>.技术方案</w:t>
      </w:r>
    </w:p>
    <w:p w14:paraId="6D34ED3E">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说明：响应文件按标准范本中的顺序进行编排，具体的资格文件、技术文件、商务文件可以根据</w:t>
      </w:r>
      <w:r>
        <w:rPr>
          <w:rFonts w:hint="eastAsia" w:ascii="宋体" w:hAnsi="宋体" w:eastAsia="宋体" w:cs="宋体"/>
          <w:b/>
          <w:color w:val="auto"/>
          <w:highlight w:val="none"/>
          <w:lang w:eastAsia="zh-CN"/>
        </w:rPr>
        <w:t>谈判采购</w:t>
      </w:r>
      <w:r>
        <w:rPr>
          <w:rFonts w:hint="eastAsia" w:ascii="宋体" w:hAnsi="宋体" w:eastAsia="宋体" w:cs="宋体"/>
          <w:b/>
          <w:color w:val="auto"/>
          <w:highlight w:val="none"/>
        </w:rPr>
        <w:t>要求进行响应，</w:t>
      </w:r>
      <w:r>
        <w:rPr>
          <w:rFonts w:hint="eastAsia" w:ascii="宋体" w:hAnsi="宋体" w:eastAsia="宋体" w:cs="宋体"/>
          <w:b/>
          <w:color w:val="auto"/>
          <w:highlight w:val="none"/>
          <w:lang w:eastAsia="zh-CN"/>
        </w:rPr>
        <w:t>谈判采购不要求</w:t>
      </w:r>
      <w:r>
        <w:rPr>
          <w:rFonts w:hint="eastAsia" w:ascii="宋体" w:hAnsi="宋体" w:eastAsia="宋体" w:cs="宋体"/>
          <w:b/>
          <w:color w:val="auto"/>
          <w:highlight w:val="none"/>
        </w:rPr>
        <w:t>的内容，可以不填写。</w:t>
      </w:r>
    </w:p>
    <w:p w14:paraId="42DF7BF5">
      <w:pPr>
        <w:ind w:firstLine="640"/>
        <w:jc w:val="center"/>
        <w:rPr>
          <w:rStyle w:val="19"/>
          <w:rFonts w:hint="eastAsia" w:ascii="宋体" w:hAnsi="宋体" w:eastAsia="宋体" w:cs="宋体"/>
          <w:color w:val="auto"/>
          <w:highlight w:val="none"/>
        </w:rPr>
      </w:pPr>
      <w:r>
        <w:rPr>
          <w:rStyle w:val="14"/>
          <w:rFonts w:hint="eastAsia" w:ascii="宋体" w:hAnsi="宋体" w:eastAsia="宋体" w:cs="宋体"/>
          <w:color w:val="auto"/>
          <w:sz w:val="32"/>
          <w:szCs w:val="32"/>
          <w:highlight w:val="none"/>
        </w:rPr>
        <w:br w:type="page"/>
      </w:r>
      <w:r>
        <w:rPr>
          <w:rStyle w:val="14"/>
          <w:rFonts w:hint="eastAsia" w:ascii="宋体" w:hAnsi="宋体" w:eastAsia="宋体" w:cs="宋体"/>
          <w:color w:val="auto"/>
          <w:sz w:val="32"/>
          <w:szCs w:val="32"/>
          <w:highlight w:val="none"/>
        </w:rPr>
        <w:t>一、</w:t>
      </w:r>
      <w:r>
        <w:rPr>
          <w:rStyle w:val="19"/>
          <w:rFonts w:hint="eastAsia" w:ascii="宋体" w:hAnsi="宋体" w:eastAsia="宋体" w:cs="宋体"/>
          <w:color w:val="auto"/>
          <w:highlight w:val="none"/>
        </w:rPr>
        <w:t>投 标 函</w:t>
      </w:r>
    </w:p>
    <w:p w14:paraId="0D89E7E0">
      <w:pPr>
        <w:widowControl/>
        <w:ind w:firstLine="0" w:firstLineChars="0"/>
        <w:rPr>
          <w:rFonts w:hint="eastAsia" w:ascii="宋体" w:hAnsi="宋体" w:eastAsia="宋体" w:cs="宋体"/>
          <w:color w:val="auto"/>
          <w:kern w:val="0"/>
          <w:highlight w:val="none"/>
        </w:rPr>
      </w:pPr>
      <w:r>
        <w:rPr>
          <w:rFonts w:hint="eastAsia" w:ascii="宋体" w:hAnsi="宋体" w:eastAsia="宋体" w:cs="宋体"/>
          <w:b/>
          <w:bCs/>
          <w:color w:val="auto"/>
          <w:kern w:val="0"/>
          <w:highlight w:val="none"/>
        </w:rPr>
        <w:t>致：</w:t>
      </w:r>
      <w:r>
        <w:rPr>
          <w:rFonts w:hint="eastAsia" w:ascii="宋体" w:hAnsi="宋体" w:eastAsia="宋体" w:cs="宋体"/>
          <w:color w:val="auto"/>
          <w:kern w:val="0"/>
          <w:highlight w:val="none"/>
        </w:rPr>
        <w:t>（采购人名称）</w:t>
      </w:r>
    </w:p>
    <w:p w14:paraId="4B1444E3">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经研究，我们决定参加项目编号为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u w:val="single"/>
        </w:rPr>
        <w:t xml:space="preserve"> （项目名称）    </w:t>
      </w:r>
      <w:r>
        <w:rPr>
          <w:rFonts w:hint="eastAsia" w:ascii="宋体" w:hAnsi="宋体" w:eastAsia="宋体" w:cs="宋体"/>
          <w:color w:val="auto"/>
          <w:kern w:val="0"/>
          <w:highlight w:val="none"/>
        </w:rPr>
        <w:t>投标，我方完全同意</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的全部内容，我方的投标报价为：</w:t>
      </w:r>
      <w:r>
        <w:rPr>
          <w:rFonts w:hint="eastAsia" w:ascii="宋体" w:hAnsi="宋体" w:eastAsia="宋体" w:cs="宋体"/>
          <w:color w:val="auto"/>
          <w:kern w:val="0"/>
          <w:highlight w:val="none"/>
          <w:u w:val="single"/>
          <w:lang w:val="en-US" w:eastAsia="zh-CN"/>
        </w:rPr>
        <w:t xml:space="preserve">           </w:t>
      </w:r>
      <w:r>
        <w:rPr>
          <w:rFonts w:hint="eastAsia" w:ascii="宋体" w:hAnsi="宋体" w:eastAsia="宋体" w:cs="宋体"/>
          <w:b/>
          <w:bCs/>
          <w:color w:val="FF0000"/>
          <w:kern w:val="0"/>
          <w:highlight w:val="none"/>
          <w:u w:val="none"/>
          <w:lang w:val="en-US" w:eastAsia="zh-CN"/>
        </w:rPr>
        <w:t>（大写：     ）</w:t>
      </w:r>
      <w:r>
        <w:rPr>
          <w:rFonts w:hint="eastAsia" w:ascii="宋体" w:hAnsi="宋体" w:eastAsia="宋体" w:cs="宋体"/>
          <w:color w:val="000000"/>
          <w:kern w:val="0"/>
          <w:highlight w:val="none"/>
          <w:u w:val="none"/>
          <w:lang w:val="en-US" w:eastAsia="zh-CN"/>
        </w:rPr>
        <w:t>为</w:t>
      </w:r>
      <w:r>
        <w:rPr>
          <w:rFonts w:hint="eastAsia" w:ascii="宋体" w:hAnsi="宋体" w:eastAsia="宋体" w:cs="宋体"/>
          <w:color w:val="000000"/>
          <w:kern w:val="0"/>
          <w:highlight w:val="none"/>
        </w:rPr>
        <w:t>投标报价</w:t>
      </w:r>
      <w:r>
        <w:rPr>
          <w:rFonts w:hint="eastAsia" w:ascii="宋体" w:hAnsi="宋体" w:eastAsia="宋体" w:cs="宋体"/>
          <w:color w:val="000000"/>
          <w:kern w:val="0"/>
          <w:highlight w:val="none"/>
          <w:lang w:eastAsia="zh-CN"/>
        </w:rPr>
        <w:t>，</w:t>
      </w:r>
      <w:r>
        <w:rPr>
          <w:rFonts w:hint="eastAsia" w:ascii="宋体" w:hAnsi="宋体" w:eastAsia="宋体" w:cs="宋体"/>
          <w:color w:val="000000"/>
          <w:kern w:val="0"/>
          <w:highlight w:val="none"/>
          <w:lang w:val="en-US" w:eastAsia="zh-CN"/>
        </w:rPr>
        <w:t>详见报价一览表</w:t>
      </w:r>
      <w:r>
        <w:rPr>
          <w:rFonts w:hint="eastAsia" w:ascii="宋体" w:hAnsi="宋体" w:eastAsia="宋体" w:cs="宋体"/>
          <w:color w:val="auto"/>
          <w:kern w:val="0"/>
          <w:highlight w:val="none"/>
        </w:rPr>
        <w:t>。本报价在投标服务期间固定不变，并在合同有效期内不受利率波动的影响，直到服务完成。</w:t>
      </w:r>
    </w:p>
    <w:p w14:paraId="0EBC9ECB">
      <w:pPr>
        <w:widowControl/>
        <w:ind w:firstLine="480"/>
        <w:rPr>
          <w:rFonts w:hint="eastAsia" w:ascii="宋体" w:hAnsi="宋体" w:eastAsia="宋体" w:cs="宋体"/>
          <w:color w:val="auto"/>
          <w:kern w:val="0"/>
          <w:highlight w:val="none"/>
        </w:rPr>
      </w:pP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shd w:val="clear" w:color="auto" w:fill="FFFFFF"/>
          <w:lang w:val="en-US" w:eastAsia="zh-CN"/>
        </w:rPr>
        <w:t>工期（服务期）</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kern w:val="0"/>
          <w:highlight w:val="none"/>
        </w:rPr>
        <w:t>。</w:t>
      </w:r>
    </w:p>
    <w:p w14:paraId="2CDB7A15">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.投标有效期：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w:t>
      </w:r>
    </w:p>
    <w:p w14:paraId="2CFEFF09">
      <w:pPr>
        <w:widowControl/>
        <w:ind w:firstLine="48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3.质量要求：</w:t>
      </w:r>
    </w:p>
    <w:p w14:paraId="6FB53642">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二、相关承诺</w:t>
      </w:r>
    </w:p>
    <w:p w14:paraId="43FCB2EA">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1.本投标报价在法律法规及</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规定的投标有效期内有效。</w:t>
      </w:r>
    </w:p>
    <w:p w14:paraId="50F98858">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2.我公司已详细审查全部</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及有关的澄清/修改文件，完全理解和同意，并保证遵守</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有关条款规定。</w:t>
      </w:r>
    </w:p>
    <w:p w14:paraId="081DF197">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3.保证在成交后忠实地执行与采购人所签署的合同，并承担合同规定的责任义务。</w:t>
      </w:r>
    </w:p>
    <w:p w14:paraId="02353E05">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4.承诺应贵方要求提供任何与该项目投标有关的数据、情况和技术资料。</w:t>
      </w:r>
    </w:p>
    <w:p w14:paraId="56B29D4E">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5.本响应文件提供的报价、资格、技术、商务等文件均真实、有效、准确。若有违背，我方愿意承担由此而产生的一切后果。</w:t>
      </w:r>
    </w:p>
    <w:p w14:paraId="6D481149">
      <w:pPr>
        <w:widowControl/>
        <w:ind w:firstLine="480"/>
        <w:rPr>
          <w:rFonts w:hint="eastAsia" w:ascii="宋体" w:hAnsi="宋体" w:eastAsia="宋体" w:cs="宋体"/>
          <w:color w:val="auto"/>
          <w:kern w:val="0"/>
          <w:highlight w:val="none"/>
        </w:rPr>
      </w:pPr>
    </w:p>
    <w:p w14:paraId="3D2827E3">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供应商名称（盖章）：</w:t>
      </w:r>
    </w:p>
    <w:p w14:paraId="30730597">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法定代表人或授权代表（签字）：               </w:t>
      </w:r>
    </w:p>
    <w:p w14:paraId="4B847813">
      <w:pPr>
        <w:ind w:left="0" w:leftChars="0" w:firstLine="0" w:firstLineChars="0"/>
        <w:rPr>
          <w:rStyle w:val="19"/>
          <w:rFonts w:hint="eastAsia" w:ascii="宋体" w:hAnsi="宋体" w:eastAsia="宋体" w:cs="宋体"/>
          <w:color w:val="000000"/>
          <w:highlight w:val="none"/>
          <w:lang w:eastAsia="zh-CN"/>
        </w:rPr>
      </w:pPr>
      <w:r>
        <w:rPr>
          <w:rFonts w:hint="eastAsia" w:ascii="宋体" w:hAnsi="宋体" w:eastAsia="宋体" w:cs="宋体"/>
          <w:color w:val="auto"/>
          <w:kern w:val="0"/>
          <w:highlight w:val="none"/>
        </w:rPr>
        <w:t>日期：</w:t>
      </w:r>
    </w:p>
    <w:p w14:paraId="7912201C">
      <w:pPr>
        <w:ind w:firstLine="0" w:firstLineChars="0"/>
        <w:jc w:val="center"/>
        <w:outlineLvl w:val="9"/>
        <w:rPr>
          <w:rStyle w:val="19"/>
          <w:rFonts w:hint="eastAsia" w:ascii="宋体" w:hAnsi="宋体" w:eastAsia="宋体" w:cs="宋体"/>
          <w:color w:val="auto"/>
          <w:highlight w:val="none"/>
          <w:lang w:eastAsia="zh-CN"/>
        </w:rPr>
        <w:sectPr>
          <w:pgSz w:w="11905" w:h="16838"/>
          <w:pgMar w:top="1417" w:right="1417" w:bottom="1417" w:left="1417" w:header="720" w:footer="720" w:gutter="0"/>
          <w:cols w:space="720" w:num="1"/>
          <w:docGrid w:linePitch="312" w:charSpace="0"/>
        </w:sectPr>
      </w:pPr>
    </w:p>
    <w:p w14:paraId="091708F9">
      <w:pPr>
        <w:ind w:firstLine="0" w:firstLineChars="0"/>
        <w:jc w:val="center"/>
        <w:outlineLvl w:val="9"/>
        <w:rPr>
          <w:rStyle w:val="19"/>
          <w:rFonts w:hint="eastAsia" w:ascii="宋体" w:hAnsi="宋体" w:eastAsia="宋体" w:cs="宋体"/>
          <w:color w:val="auto"/>
          <w:highlight w:val="none"/>
          <w:lang w:eastAsia="zh-CN"/>
        </w:rPr>
      </w:pPr>
      <w:r>
        <w:rPr>
          <w:rStyle w:val="19"/>
          <w:rFonts w:hint="eastAsia" w:ascii="宋体" w:hAnsi="宋体" w:eastAsia="宋体" w:cs="宋体"/>
          <w:color w:val="auto"/>
          <w:highlight w:val="none"/>
          <w:lang w:eastAsia="zh-CN"/>
        </w:rPr>
        <w:t>报价一览表</w:t>
      </w:r>
    </w:p>
    <w:p w14:paraId="17E05F9F">
      <w:pPr>
        <w:keepNext w:val="0"/>
        <w:keepLines w:val="0"/>
        <w:pageBreakBefore w:val="0"/>
        <w:kinsoku/>
        <w:wordWrap/>
        <w:overflowPunct/>
        <w:topLinePunct w:val="0"/>
        <w:autoSpaceDE/>
        <w:autoSpaceDN/>
        <w:bidi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73D02D62">
      <w:pPr>
        <w:keepNext w:val="0"/>
        <w:keepLines w:val="0"/>
        <w:pageBreakBefore w:val="0"/>
        <w:kinsoku/>
        <w:wordWrap/>
        <w:overflowPunct/>
        <w:topLinePunct w:val="0"/>
        <w:autoSpaceDE/>
        <w:autoSpaceDN/>
        <w:bidi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12"/>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888"/>
        <w:gridCol w:w="1830"/>
        <w:gridCol w:w="935"/>
        <w:gridCol w:w="1081"/>
        <w:gridCol w:w="1322"/>
        <w:gridCol w:w="1420"/>
        <w:gridCol w:w="1613"/>
        <w:gridCol w:w="1875"/>
        <w:gridCol w:w="846"/>
        <w:gridCol w:w="1122"/>
      </w:tblGrid>
      <w:tr w14:paraId="7067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blHeader/>
        </w:trPr>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CD2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序号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AF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材料名称</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599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规格型号</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AE9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计量单位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89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数量</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67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项目控制不含税单价（元）</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AE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FF0000"/>
                <w:kern w:val="0"/>
                <w:sz w:val="24"/>
                <w:szCs w:val="24"/>
                <w:highlight w:val="none"/>
                <w:u w:val="none"/>
                <w:lang w:val="en-US" w:eastAsia="zh-CN"/>
              </w:rPr>
            </w:pPr>
            <w:r>
              <w:rPr>
                <w:rFonts w:hint="eastAsia" w:ascii="宋体" w:hAnsi="宋体" w:eastAsia="宋体" w:cs="宋体"/>
                <w:b/>
                <w:bCs/>
                <w:i w:val="0"/>
                <w:iCs w:val="0"/>
                <w:color w:val="FF0000"/>
                <w:kern w:val="0"/>
                <w:sz w:val="24"/>
                <w:szCs w:val="24"/>
                <w:highlight w:val="none"/>
                <w:u w:val="none"/>
                <w:lang w:val="en-US" w:eastAsia="zh-CN"/>
              </w:rPr>
              <w:t>响应不含税单价（元）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8FED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项目控制不含税合计（元）</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FC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FF0000"/>
                <w:kern w:val="0"/>
                <w:sz w:val="24"/>
                <w:szCs w:val="24"/>
                <w:highlight w:val="none"/>
                <w:u w:val="none"/>
                <w:lang w:val="en-US" w:eastAsia="zh-CN"/>
              </w:rPr>
            </w:pPr>
            <w:r>
              <w:rPr>
                <w:rFonts w:hint="eastAsia" w:ascii="宋体" w:hAnsi="宋体" w:eastAsia="宋体" w:cs="宋体"/>
                <w:b/>
                <w:bCs/>
                <w:i w:val="0"/>
                <w:iCs w:val="0"/>
                <w:color w:val="FF0000"/>
                <w:kern w:val="0"/>
                <w:sz w:val="24"/>
                <w:szCs w:val="24"/>
                <w:highlight w:val="none"/>
                <w:u w:val="none"/>
                <w:lang w:val="en-US" w:eastAsia="zh-CN"/>
              </w:rPr>
              <w:t>响应不含税合计（元）</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43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24"/>
                <w:szCs w:val="24"/>
                <w:highlight w:val="none"/>
                <w:u w:val="none"/>
                <w:lang w:val="en-US" w:eastAsia="zh-CN"/>
              </w:rPr>
            </w:pPr>
            <w:r>
              <w:rPr>
                <w:rFonts w:hint="eastAsia" w:ascii="宋体" w:hAnsi="宋体" w:eastAsia="宋体" w:cs="宋体"/>
                <w:b/>
                <w:bCs/>
                <w:i w:val="0"/>
                <w:iCs w:val="0"/>
                <w:color w:val="000000"/>
                <w:kern w:val="0"/>
                <w:sz w:val="24"/>
                <w:szCs w:val="24"/>
                <w:highlight w:val="none"/>
                <w:u w:val="none"/>
                <w:lang w:val="en-US" w:eastAsia="zh-CN"/>
              </w:rPr>
              <w:t>税率</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AD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rPr>
              <w:t>备注</w:t>
            </w:r>
          </w:p>
        </w:tc>
      </w:tr>
      <w:tr w14:paraId="6D57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9" w:type="pct"/>
            <w:tcBorders>
              <w:top w:val="nil"/>
              <w:left w:val="single" w:color="000000" w:sz="4" w:space="0"/>
              <w:bottom w:val="single" w:color="000000" w:sz="4" w:space="0"/>
              <w:right w:val="single" w:color="000000" w:sz="4" w:space="0"/>
            </w:tcBorders>
            <w:shd w:val="clear" w:color="auto" w:fill="FFFFFF"/>
            <w:vAlign w:val="center"/>
          </w:tcPr>
          <w:p w14:paraId="0B4969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466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纳米合金管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9D8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DN600(SN12.5)</w:t>
            </w:r>
          </w:p>
        </w:tc>
        <w:tc>
          <w:tcPr>
            <w:tcW w:w="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E88C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m</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A7F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1300.00 </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78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rPr>
              <w:t xml:space="preserve">450.00 </w:t>
            </w:r>
          </w:p>
        </w:tc>
        <w:tc>
          <w:tcPr>
            <w:tcW w:w="480" w:type="pct"/>
            <w:tcBorders>
              <w:top w:val="nil"/>
              <w:left w:val="single" w:color="000000" w:sz="4" w:space="0"/>
              <w:bottom w:val="single" w:color="000000" w:sz="4" w:space="0"/>
              <w:right w:val="single" w:color="000000" w:sz="4" w:space="0"/>
            </w:tcBorders>
            <w:shd w:val="clear" w:color="auto" w:fill="FFFFFF"/>
            <w:vAlign w:val="center"/>
          </w:tcPr>
          <w:p w14:paraId="5E7239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FF0000"/>
                <w:kern w:val="0"/>
                <w:sz w:val="24"/>
                <w:szCs w:val="24"/>
                <w:highlight w:val="none"/>
                <w:u w:val="none"/>
                <w:lang w:val="en-US" w:eastAsia="zh-CN"/>
              </w:rPr>
            </w:pPr>
          </w:p>
        </w:tc>
        <w:tc>
          <w:tcPr>
            <w:tcW w:w="545" w:type="pct"/>
            <w:tcBorders>
              <w:top w:val="nil"/>
              <w:left w:val="single" w:color="000000" w:sz="4" w:space="0"/>
              <w:bottom w:val="single" w:color="000000" w:sz="4" w:space="0"/>
              <w:right w:val="single" w:color="000000" w:sz="4" w:space="0"/>
            </w:tcBorders>
            <w:shd w:val="clear" w:color="auto" w:fill="FFFFFF"/>
            <w:vAlign w:val="center"/>
          </w:tcPr>
          <w:p w14:paraId="1920D3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rPr>
              <w:t xml:space="preserve">58500.00 </w:t>
            </w: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D852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FF0000"/>
                <w:sz w:val="24"/>
                <w:szCs w:val="24"/>
                <w:highlight w:val="none"/>
                <w:u w:val="none"/>
                <w:lang w:val="en-US" w:eastAsia="zh-CN"/>
              </w:rPr>
            </w:pPr>
          </w:p>
        </w:tc>
        <w:tc>
          <w:tcPr>
            <w:tcW w:w="2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0EF6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13%</w:t>
            </w:r>
          </w:p>
        </w:tc>
        <w:tc>
          <w:tcPr>
            <w:tcW w:w="37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03CC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预估数量据实结算</w:t>
            </w:r>
          </w:p>
        </w:tc>
      </w:tr>
      <w:tr w14:paraId="4C5D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5C63F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rPr>
              <w:t>响应合计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D8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FF0000"/>
                <w:kern w:val="0"/>
                <w:sz w:val="28"/>
                <w:szCs w:val="28"/>
                <w:highlight w:val="none"/>
                <w:u w:val="none"/>
                <w:lang w:val="en-US" w:eastAsia="zh-CN"/>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BCE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rPr>
              <w:t xml:space="preserve">585000.00 </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B9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FF0000"/>
                <w:sz w:val="24"/>
                <w:szCs w:val="24"/>
                <w:highlight w:val="none"/>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A2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4"/>
                <w:szCs w:val="24"/>
                <w:highlight w:val="none"/>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2B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i w:val="0"/>
                <w:iCs w:val="0"/>
                <w:color w:val="000000"/>
                <w:sz w:val="24"/>
                <w:szCs w:val="24"/>
                <w:highlight w:val="none"/>
                <w:u w:val="none"/>
              </w:rPr>
            </w:pPr>
          </w:p>
        </w:tc>
      </w:tr>
    </w:tbl>
    <w:p w14:paraId="6996E4C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kern w:val="0"/>
          <w:sz w:val="24"/>
          <w:szCs w:val="24"/>
          <w:highlight w:val="none"/>
        </w:rPr>
      </w:pPr>
    </w:p>
    <w:p w14:paraId="741424A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投标供应商</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法定代表人或授权代表（签字）：               </w:t>
      </w:r>
    </w:p>
    <w:p w14:paraId="64D299CE">
      <w:pPr>
        <w:keepNext w:val="0"/>
        <w:keepLines w:val="0"/>
        <w:pageBreakBefore w:val="0"/>
        <w:widowControl w:val="0"/>
        <w:kinsoku/>
        <w:wordWrap/>
        <w:overflowPunct/>
        <w:topLinePunct w:val="0"/>
        <w:autoSpaceDE/>
        <w:autoSpaceDN/>
        <w:bidi w:val="0"/>
        <w:adjustRightInd/>
        <w:snapToGrid/>
        <w:spacing w:line="360" w:lineRule="auto"/>
        <w:ind w:firstLine="7680" w:firstLineChars="3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rPr>
        <w:t xml:space="preserve">  年  月   日</w:t>
      </w:r>
      <w:r>
        <w:rPr>
          <w:rFonts w:hint="eastAsia" w:ascii="宋体" w:hAnsi="宋体" w:eastAsia="宋体" w:cs="宋体"/>
          <w:color w:val="auto"/>
          <w:sz w:val="24"/>
          <w:szCs w:val="24"/>
          <w:highlight w:val="none"/>
        </w:rPr>
        <w:t xml:space="preserve"> </w:t>
      </w:r>
    </w:p>
    <w:p w14:paraId="687A0E8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FF0000"/>
          <w:sz w:val="24"/>
          <w:szCs w:val="24"/>
          <w:highlight w:val="none"/>
          <w:lang w:val="en-US" w:eastAsia="zh-CN"/>
        </w:rPr>
        <w:t>本项目最高投标限价:供应商的投标总价报价和投标单价报价不得高于招标控制价，高于招标控制价的为废标。</w:t>
      </w:r>
    </w:p>
    <w:p w14:paraId="2798DB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宋体" w:cs="仿宋"/>
          <w:color w:val="auto"/>
          <w:sz w:val="24"/>
          <w:szCs w:val="24"/>
          <w:highlight w:val="none"/>
          <w:lang w:val="en-US" w:eastAsia="zh-CN"/>
        </w:rPr>
        <w:sectPr>
          <w:pgSz w:w="16839" w:h="11905" w:orient="landscape"/>
          <w:pgMar w:top="1432" w:right="1367" w:bottom="1419" w:left="882" w:header="0" w:footer="720" w:gutter="0"/>
          <w:pgNumType w:fmt="decimal"/>
          <w:cols w:space="720" w:num="1"/>
        </w:sectPr>
      </w:pPr>
      <w:r>
        <w:rPr>
          <w:rFonts w:hint="eastAsia" w:ascii="宋体" w:hAnsi="宋体" w:eastAsia="宋体" w:cs="宋体"/>
          <w:color w:val="auto"/>
          <w:sz w:val="24"/>
          <w:szCs w:val="24"/>
          <w:highlight w:val="none"/>
        </w:rPr>
        <w:t>2.若二次报价时只提交总价，成交供应商签订合同时的单价=二次总报价/一次报价总价*一次报价中各单项单价</w:t>
      </w:r>
    </w:p>
    <w:p w14:paraId="10DE00D1">
      <w:pPr>
        <w:ind w:firstLine="0" w:firstLineChars="0"/>
        <w:jc w:val="center"/>
        <w:rPr>
          <w:rStyle w:val="19"/>
          <w:rFonts w:hint="eastAsia" w:ascii="宋体" w:hAnsi="宋体" w:eastAsia="宋体" w:cs="宋体"/>
          <w:color w:val="auto"/>
          <w:highlight w:val="none"/>
        </w:rPr>
      </w:pPr>
      <w:r>
        <w:rPr>
          <w:rStyle w:val="19"/>
          <w:rFonts w:hint="eastAsia" w:ascii="宋体" w:hAnsi="宋体" w:eastAsia="宋体" w:cs="宋体"/>
          <w:color w:val="auto"/>
          <w:highlight w:val="none"/>
          <w:lang w:eastAsia="zh-CN"/>
        </w:rPr>
        <w:t>二</w:t>
      </w:r>
      <w:r>
        <w:rPr>
          <w:rStyle w:val="19"/>
          <w:rFonts w:hint="eastAsia" w:ascii="宋体" w:hAnsi="宋体" w:eastAsia="宋体" w:cs="宋体"/>
          <w:color w:val="auto"/>
          <w:highlight w:val="none"/>
        </w:rPr>
        <w:t>、</w:t>
      </w:r>
      <w:r>
        <w:rPr>
          <w:rStyle w:val="19"/>
          <w:rFonts w:hint="eastAsia" w:ascii="宋体" w:hAnsi="宋体" w:eastAsia="宋体" w:cs="宋体"/>
          <w:color w:val="auto"/>
          <w:highlight w:val="none"/>
          <w:lang w:val="en-US" w:eastAsia="zh-CN"/>
        </w:rPr>
        <w:t>法定代表人</w:t>
      </w:r>
      <w:r>
        <w:rPr>
          <w:rStyle w:val="19"/>
          <w:rFonts w:hint="eastAsia" w:ascii="宋体" w:hAnsi="宋体" w:eastAsia="宋体" w:cs="宋体"/>
          <w:color w:val="auto"/>
          <w:highlight w:val="none"/>
        </w:rPr>
        <w:t>身份证明</w:t>
      </w:r>
    </w:p>
    <w:p w14:paraId="0221C252">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rPr>
        <w:t>致：</w:t>
      </w:r>
      <w:r>
        <w:rPr>
          <w:rFonts w:hint="eastAsia" w:ascii="宋体" w:hAnsi="宋体" w:eastAsia="宋体" w:cs="宋体"/>
          <w:color w:val="auto"/>
          <w:kern w:val="0"/>
          <w:highlight w:val="none"/>
          <w:u w:val="single"/>
        </w:rPr>
        <w:t xml:space="preserve"> （采购人名称） </w:t>
      </w:r>
    </w:p>
    <w:p w14:paraId="25EB1D7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u w:val="single"/>
          <w:lang w:val="en-US" w:eastAsia="zh-CN"/>
        </w:rPr>
        <w:t>供应商</w:t>
      </w:r>
      <w:r>
        <w:rPr>
          <w:rFonts w:hint="eastAsia" w:ascii="宋体" w:hAnsi="宋体" w:eastAsia="宋体" w:cs="宋体"/>
          <w:color w:val="auto"/>
          <w:kern w:val="0"/>
          <w:highlight w:val="none"/>
          <w:u w:val="single"/>
        </w:rPr>
        <w:t xml:space="preserve">全称）   </w:t>
      </w:r>
      <w:r>
        <w:rPr>
          <w:rFonts w:hint="eastAsia" w:ascii="宋体" w:hAnsi="宋体" w:eastAsia="宋体" w:cs="宋体"/>
          <w:color w:val="auto"/>
          <w:kern w:val="0"/>
          <w:highlight w:val="none"/>
        </w:rPr>
        <w:t>法定代表人</w:t>
      </w:r>
      <w:r>
        <w:rPr>
          <w:rFonts w:hint="eastAsia" w:ascii="宋体" w:hAnsi="宋体" w:eastAsia="宋体" w:cs="宋体"/>
          <w:color w:val="auto"/>
          <w:kern w:val="0"/>
          <w:highlight w:val="none"/>
          <w:u w:val="single"/>
        </w:rPr>
        <w:t xml:space="preserve">   姓名  </w:t>
      </w:r>
      <w:r>
        <w:rPr>
          <w:rFonts w:hint="eastAsia" w:ascii="宋体" w:hAnsi="宋体" w:eastAsia="宋体" w:cs="宋体"/>
          <w:color w:val="auto"/>
          <w:kern w:val="0"/>
          <w:highlight w:val="none"/>
        </w:rPr>
        <w:t xml:space="preserve">（身份证号码：         ），参加贵 </w:t>
      </w:r>
    </w:p>
    <w:p w14:paraId="39DF8E99">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rPr>
        <w:t>方组织的</w:t>
      </w:r>
      <w:r>
        <w:rPr>
          <w:rFonts w:hint="eastAsia" w:ascii="宋体" w:hAnsi="宋体" w:eastAsia="宋体" w:cs="宋体"/>
          <w:color w:val="auto"/>
          <w:kern w:val="0"/>
          <w:highlight w:val="none"/>
          <w:u w:val="single"/>
        </w:rPr>
        <w:t xml:space="preserve">   项目名称   </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活动，代表本公司处理</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活动中的一切事宜。</w:t>
      </w:r>
    </w:p>
    <w:p w14:paraId="0BFEEFC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5C7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4474" w:type="dxa"/>
            <w:vAlign w:val="center"/>
          </w:tcPr>
          <w:p w14:paraId="17DD8C46">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0F4A8323">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6AC94387">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332AA752">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7FBF7AF5">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04B20CCE">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bl>
    <w:p w14:paraId="615EEB74">
      <w:pPr>
        <w:ind w:firstLine="0" w:firstLineChars="0"/>
        <w:jc w:val="center"/>
        <w:rPr>
          <w:rStyle w:val="18"/>
          <w:rFonts w:hint="eastAsia" w:ascii="宋体" w:hAnsi="宋体" w:eastAsia="宋体" w:cs="宋体"/>
          <w:color w:val="auto"/>
          <w:sz w:val="24"/>
          <w:szCs w:val="20"/>
          <w:highlight w:val="none"/>
        </w:rPr>
      </w:pPr>
    </w:p>
    <w:p w14:paraId="0167730E">
      <w:pPr>
        <w:ind w:firstLine="0" w:firstLineChars="0"/>
        <w:jc w:val="center"/>
        <w:rPr>
          <w:rStyle w:val="18"/>
          <w:rFonts w:hint="eastAsia" w:ascii="宋体" w:hAnsi="宋体" w:eastAsia="宋体" w:cs="宋体"/>
          <w:color w:val="auto"/>
          <w:sz w:val="24"/>
          <w:szCs w:val="20"/>
          <w:highlight w:val="none"/>
        </w:rPr>
      </w:pPr>
    </w:p>
    <w:p w14:paraId="52EDF4B3">
      <w:pPr>
        <w:ind w:firstLine="0" w:firstLineChars="0"/>
        <w:jc w:val="center"/>
        <w:rPr>
          <w:rStyle w:val="18"/>
          <w:rFonts w:hint="eastAsia" w:ascii="宋体" w:hAnsi="宋体" w:eastAsia="宋体" w:cs="宋体"/>
          <w:color w:val="auto"/>
          <w:sz w:val="24"/>
          <w:szCs w:val="20"/>
          <w:highlight w:val="none"/>
        </w:rPr>
      </w:pPr>
    </w:p>
    <w:p w14:paraId="49720778">
      <w:pPr>
        <w:ind w:firstLine="0" w:firstLineChars="0"/>
        <w:jc w:val="center"/>
        <w:rPr>
          <w:rStyle w:val="18"/>
          <w:rFonts w:hint="eastAsia" w:ascii="宋体" w:hAnsi="宋体" w:eastAsia="宋体" w:cs="宋体"/>
          <w:color w:val="auto"/>
          <w:sz w:val="24"/>
          <w:szCs w:val="20"/>
          <w:highlight w:val="none"/>
        </w:rPr>
      </w:pPr>
    </w:p>
    <w:p w14:paraId="7F2BDA93">
      <w:pPr>
        <w:ind w:firstLine="0" w:firstLineChars="0"/>
        <w:jc w:val="center"/>
        <w:rPr>
          <w:rStyle w:val="18"/>
          <w:rFonts w:hint="eastAsia" w:ascii="宋体" w:hAnsi="宋体" w:eastAsia="宋体" w:cs="宋体"/>
          <w:color w:val="auto"/>
          <w:sz w:val="24"/>
          <w:szCs w:val="20"/>
          <w:highlight w:val="none"/>
        </w:rPr>
      </w:pPr>
    </w:p>
    <w:p w14:paraId="26B055AC">
      <w:pPr>
        <w:ind w:firstLine="0" w:firstLineChars="0"/>
        <w:jc w:val="center"/>
        <w:rPr>
          <w:rStyle w:val="18"/>
          <w:rFonts w:hint="eastAsia" w:ascii="宋体" w:hAnsi="宋体" w:eastAsia="宋体" w:cs="宋体"/>
          <w:color w:val="auto"/>
          <w:sz w:val="24"/>
          <w:szCs w:val="20"/>
          <w:highlight w:val="none"/>
        </w:rPr>
      </w:pPr>
    </w:p>
    <w:p w14:paraId="24BD22C5">
      <w:pPr>
        <w:ind w:firstLine="0" w:firstLineChars="0"/>
        <w:jc w:val="center"/>
        <w:rPr>
          <w:rStyle w:val="18"/>
          <w:rFonts w:hint="eastAsia" w:ascii="宋体" w:hAnsi="宋体" w:eastAsia="宋体" w:cs="宋体"/>
          <w:color w:val="auto"/>
          <w:sz w:val="24"/>
          <w:szCs w:val="20"/>
          <w:highlight w:val="none"/>
        </w:rPr>
      </w:pPr>
    </w:p>
    <w:p w14:paraId="389F5BC1">
      <w:pPr>
        <w:ind w:firstLine="0" w:firstLineChars="0"/>
        <w:jc w:val="center"/>
        <w:rPr>
          <w:rStyle w:val="18"/>
          <w:rFonts w:hint="eastAsia" w:ascii="宋体" w:hAnsi="宋体" w:eastAsia="宋体" w:cs="宋体"/>
          <w:color w:val="auto"/>
          <w:sz w:val="24"/>
          <w:szCs w:val="20"/>
          <w:highlight w:val="none"/>
        </w:rPr>
      </w:pPr>
    </w:p>
    <w:p w14:paraId="7C53C65B">
      <w:pPr>
        <w:ind w:firstLine="0" w:firstLineChars="0"/>
        <w:jc w:val="center"/>
        <w:rPr>
          <w:rStyle w:val="18"/>
          <w:rFonts w:hint="eastAsia" w:ascii="宋体" w:hAnsi="宋体" w:eastAsia="宋体" w:cs="宋体"/>
          <w:color w:val="auto"/>
          <w:sz w:val="24"/>
          <w:szCs w:val="20"/>
          <w:highlight w:val="none"/>
        </w:rPr>
      </w:pPr>
    </w:p>
    <w:p w14:paraId="67C9EA0A">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投标供应商（公章）： </w:t>
      </w:r>
    </w:p>
    <w:p w14:paraId="4A5EB349">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法定代表人（签字或盖章）： </w:t>
      </w:r>
    </w:p>
    <w:p w14:paraId="4A48DA7E">
      <w:pPr>
        <w:widowControl/>
        <w:ind w:firstLine="6240" w:firstLineChars="2600"/>
        <w:rPr>
          <w:rFonts w:hint="eastAsia" w:ascii="宋体" w:hAnsi="宋体" w:eastAsia="宋体" w:cs="宋体"/>
          <w:color w:val="auto"/>
          <w:highlight w:val="none"/>
        </w:rPr>
      </w:pPr>
      <w:r>
        <w:rPr>
          <w:rFonts w:hint="eastAsia" w:ascii="宋体" w:hAnsi="宋体" w:eastAsia="宋体" w:cs="宋体"/>
          <w:color w:val="auto"/>
          <w:kern w:val="0"/>
          <w:highlight w:val="none"/>
        </w:rPr>
        <w:t>年   月   日</w:t>
      </w:r>
    </w:p>
    <w:p w14:paraId="274C88FD">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rPr>
        <w:br w:type="page"/>
      </w:r>
      <w:r>
        <w:rPr>
          <w:rStyle w:val="18"/>
          <w:rFonts w:hint="eastAsia" w:ascii="宋体" w:hAnsi="宋体" w:eastAsia="宋体" w:cs="宋体"/>
          <w:color w:val="auto"/>
          <w:highlight w:val="none"/>
          <w:lang w:eastAsia="zh-CN"/>
        </w:rPr>
        <w:t>三</w:t>
      </w:r>
      <w:r>
        <w:rPr>
          <w:rStyle w:val="18"/>
          <w:rFonts w:hint="eastAsia" w:ascii="宋体" w:hAnsi="宋体" w:eastAsia="宋体" w:cs="宋体"/>
          <w:color w:val="auto"/>
          <w:highlight w:val="none"/>
        </w:rPr>
        <w:t>、授权委托书</w:t>
      </w:r>
      <w:r>
        <w:rPr>
          <w:rStyle w:val="18"/>
          <w:rFonts w:hint="eastAsia" w:ascii="宋体" w:hAnsi="宋体" w:eastAsia="宋体" w:cs="宋体"/>
          <w:color w:val="auto"/>
          <w:highlight w:val="none"/>
          <w:lang w:eastAsia="zh-CN"/>
        </w:rPr>
        <w:t>（</w:t>
      </w:r>
      <w:r>
        <w:rPr>
          <w:rStyle w:val="18"/>
          <w:rFonts w:hint="eastAsia" w:ascii="宋体" w:hAnsi="宋体" w:eastAsia="宋体" w:cs="宋体"/>
          <w:color w:val="auto"/>
          <w:highlight w:val="none"/>
          <w:lang w:val="en-US" w:eastAsia="zh-CN"/>
        </w:rPr>
        <w:t>如有</w:t>
      </w:r>
      <w:r>
        <w:rPr>
          <w:rStyle w:val="18"/>
          <w:rFonts w:hint="eastAsia" w:ascii="宋体" w:hAnsi="宋体" w:eastAsia="宋体" w:cs="宋体"/>
          <w:color w:val="auto"/>
          <w:highlight w:val="none"/>
          <w:lang w:eastAsia="zh-CN"/>
        </w:rPr>
        <w:t>）</w:t>
      </w:r>
    </w:p>
    <w:p w14:paraId="26E80D04">
      <w:pPr>
        <w:ind w:firstLine="480"/>
        <w:rPr>
          <w:rFonts w:hint="eastAsia" w:ascii="宋体" w:hAnsi="宋体" w:eastAsia="宋体" w:cs="宋体"/>
          <w:color w:val="auto"/>
          <w:highlight w:val="none"/>
          <w:u w:val="single"/>
        </w:rPr>
      </w:pPr>
    </w:p>
    <w:p w14:paraId="6EBF5C45">
      <w:pPr>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eastAsia="宋体" w:cs="宋体"/>
          <w:color w:val="auto"/>
          <w:kern w:val="0"/>
          <w:highlight w:val="none"/>
          <w:u w:val="single"/>
        </w:rPr>
        <w:t>（采购人名称）</w:t>
      </w:r>
    </w:p>
    <w:p w14:paraId="57A6F77C">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（供应商全称） </w:t>
      </w:r>
      <w:r>
        <w:rPr>
          <w:rFonts w:hint="eastAsia" w:ascii="宋体" w:hAnsi="宋体" w:eastAsia="宋体" w:cs="宋体"/>
          <w:color w:val="auto"/>
          <w:kern w:val="0"/>
          <w:highlight w:val="none"/>
        </w:rPr>
        <w:t>法定代表人</w:t>
      </w:r>
      <w:r>
        <w:rPr>
          <w:rFonts w:hint="eastAsia" w:ascii="宋体" w:hAnsi="宋体" w:eastAsia="宋体" w:cs="宋体"/>
          <w:color w:val="auto"/>
          <w:kern w:val="0"/>
          <w:highlight w:val="none"/>
          <w:u w:val="single"/>
        </w:rPr>
        <w:t xml:space="preserve"> 姓名 </w:t>
      </w:r>
      <w:r>
        <w:rPr>
          <w:rFonts w:hint="eastAsia" w:ascii="宋体" w:hAnsi="宋体" w:eastAsia="宋体" w:cs="宋体"/>
          <w:color w:val="auto"/>
          <w:kern w:val="0"/>
          <w:highlight w:val="none"/>
        </w:rPr>
        <w:t>授权</w:t>
      </w:r>
      <w:r>
        <w:rPr>
          <w:rFonts w:hint="eastAsia" w:ascii="宋体" w:hAnsi="宋体" w:eastAsia="宋体" w:cs="宋体"/>
          <w:color w:val="auto"/>
          <w:kern w:val="0"/>
          <w:highlight w:val="none"/>
          <w:u w:val="single"/>
        </w:rPr>
        <w:t xml:space="preserve"> 被授权人姓名</w:t>
      </w:r>
      <w:r>
        <w:rPr>
          <w:rFonts w:hint="eastAsia" w:ascii="宋体" w:hAnsi="宋体" w:eastAsia="宋体" w:cs="宋体"/>
          <w:color w:val="auto"/>
          <w:kern w:val="0"/>
          <w:highlight w:val="none"/>
        </w:rPr>
        <w:t>（身份证号码：</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）为本公司合法代理人，参加贵方组织的</w:t>
      </w:r>
      <w:r>
        <w:rPr>
          <w:rFonts w:hint="eastAsia" w:ascii="宋体" w:hAnsi="宋体" w:eastAsia="宋体" w:cs="宋体"/>
          <w:color w:val="auto"/>
          <w:kern w:val="0"/>
          <w:highlight w:val="none"/>
          <w:u w:val="single"/>
        </w:rPr>
        <w:t xml:space="preserve">  项目名称（</w:t>
      </w:r>
      <w:r>
        <w:rPr>
          <w:rFonts w:hint="eastAsia" w:ascii="宋体" w:hAnsi="宋体" w:eastAsia="宋体" w:cs="宋体"/>
          <w:color w:val="auto"/>
          <w:kern w:val="0"/>
          <w:highlight w:val="none"/>
        </w:rPr>
        <w:t>招标编号：</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活动，代表本公司处理</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活动中的一切事宜。</w:t>
      </w:r>
    </w:p>
    <w:p w14:paraId="668CA577">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本授权委托书签章即生效，被委托人无转委托权。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3F97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4474" w:type="dxa"/>
            <w:vAlign w:val="center"/>
          </w:tcPr>
          <w:p w14:paraId="3A5B1671">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758CBE4C">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37C44169">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183A4078">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被授权人身份证复印件（扫描件）</w:t>
            </w:r>
          </w:p>
          <w:p w14:paraId="3297B49B">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701CFD12">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r w14:paraId="3A9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4474" w:type="dxa"/>
            <w:vAlign w:val="center"/>
          </w:tcPr>
          <w:p w14:paraId="5ECEDB5F">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60512411">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54D074AF">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57121D5A">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被授权人身份证复印件（扫描件）</w:t>
            </w:r>
          </w:p>
          <w:p w14:paraId="042BC3CE">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4D5F2D56">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bl>
    <w:p w14:paraId="4A078AAB">
      <w:pPr>
        <w:ind w:firstLine="480"/>
        <w:rPr>
          <w:rFonts w:hint="eastAsia" w:ascii="宋体" w:hAnsi="宋体" w:eastAsia="宋体" w:cs="宋体"/>
          <w:color w:val="auto"/>
          <w:highlight w:val="none"/>
        </w:rPr>
      </w:pPr>
    </w:p>
    <w:p w14:paraId="15B09C97">
      <w:pPr>
        <w:ind w:firstLine="480"/>
        <w:rPr>
          <w:rFonts w:hint="eastAsia" w:ascii="宋体" w:hAnsi="宋体" w:eastAsia="宋体" w:cs="宋体"/>
          <w:color w:val="auto"/>
          <w:kern w:val="0"/>
          <w:highlight w:val="none"/>
        </w:rPr>
      </w:pPr>
      <w:r>
        <w:rPr>
          <w:rFonts w:hint="eastAsia" w:ascii="宋体" w:hAnsi="宋体" w:eastAsia="宋体" w:cs="宋体"/>
          <w:color w:val="auto"/>
          <w:highlight w:val="none"/>
        </w:rPr>
        <w:t>注：1.</w:t>
      </w:r>
      <w:r>
        <w:rPr>
          <w:rFonts w:hint="eastAsia" w:ascii="宋体" w:hAnsi="宋体" w:eastAsia="宋体" w:cs="宋体"/>
          <w:color w:val="auto"/>
          <w:kern w:val="0"/>
          <w:highlight w:val="none"/>
        </w:rPr>
        <w:t>身份证复印件（扫描件）如为粘贴的，须在身份证复印件（扫描件）接缝处加盖公章；</w:t>
      </w:r>
    </w:p>
    <w:p w14:paraId="72D8B7BC">
      <w:pPr>
        <w:ind w:firstLine="991" w:firstLineChars="413"/>
        <w:rPr>
          <w:rFonts w:hint="eastAsia" w:ascii="宋体" w:hAnsi="宋体" w:eastAsia="宋体" w:cs="宋体"/>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本委托书需另行签署一份，在招标时验证被授权人身份时使用；</w:t>
      </w:r>
    </w:p>
    <w:p w14:paraId="1DD0E3A6">
      <w:pPr>
        <w:ind w:firstLine="991" w:firstLineChars="413"/>
        <w:rPr>
          <w:rFonts w:hint="eastAsia" w:ascii="宋体" w:hAnsi="宋体" w:eastAsia="宋体" w:cs="宋体"/>
          <w:color w:val="auto"/>
          <w:kern w:val="0"/>
          <w:highlight w:val="none"/>
        </w:rPr>
      </w:pPr>
      <w:r>
        <w:rPr>
          <w:rFonts w:hint="eastAsia" w:ascii="宋体" w:hAnsi="宋体" w:eastAsia="宋体" w:cs="宋体"/>
          <w:color w:val="auto"/>
          <w:kern w:val="0"/>
          <w:highlight w:val="none"/>
        </w:rPr>
        <w:t>3.如果是法定代表人参加投标，本页内容为法定代表人身份证复印件（扫描件）。</w:t>
      </w:r>
    </w:p>
    <w:p w14:paraId="6F99661A">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法定代表人（签字或盖章）：                        被授权代表签字：</w:t>
      </w:r>
    </w:p>
    <w:p w14:paraId="0D81F63D">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投标供应商（公章）： </w:t>
      </w:r>
    </w:p>
    <w:p w14:paraId="44B25D50">
      <w:pPr>
        <w:ind w:firstLine="991" w:firstLineChars="413"/>
        <w:jc w:val="right"/>
        <w:rPr>
          <w:rFonts w:hint="eastAsia" w:ascii="宋体" w:hAnsi="宋体" w:eastAsia="宋体" w:cs="宋体"/>
          <w:color w:val="auto"/>
          <w:highlight w:val="none"/>
        </w:rPr>
      </w:pPr>
      <w:bookmarkStart w:id="26" w:name="_Toc16850"/>
      <w:bookmarkStart w:id="27" w:name="_Toc3145"/>
      <w:bookmarkStart w:id="28" w:name="_Toc557"/>
      <w:bookmarkStart w:id="29" w:name="_Toc1583"/>
      <w:bookmarkStart w:id="30" w:name="_Toc19688"/>
      <w:r>
        <w:rPr>
          <w:rFonts w:hint="eastAsia" w:ascii="宋体" w:hAnsi="宋体" w:eastAsia="宋体" w:cs="宋体"/>
          <w:color w:val="auto"/>
          <w:highlight w:val="none"/>
        </w:rPr>
        <w:t xml:space="preserve">年   月   日 </w:t>
      </w:r>
    </w:p>
    <w:p w14:paraId="71C6D69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EBB0B0">
      <w:pPr>
        <w:ind w:left="0" w:leftChars="0" w:firstLine="0" w:firstLineChars="0"/>
        <w:rPr>
          <w:rFonts w:hint="eastAsia" w:ascii="宋体" w:hAnsi="宋体" w:eastAsia="宋体" w:cs="宋体"/>
          <w:color w:val="auto"/>
          <w:highlight w:val="none"/>
        </w:rPr>
      </w:pPr>
    </w:p>
    <w:p w14:paraId="34509B85">
      <w:pPr>
        <w:ind w:firstLine="0" w:firstLineChars="0"/>
        <w:jc w:val="center"/>
        <w:rPr>
          <w:rStyle w:val="18"/>
          <w:rFonts w:hint="default" w:ascii="宋体" w:hAnsi="宋体" w:eastAsia="宋体" w:cs="宋体"/>
          <w:color w:val="auto"/>
          <w:highlight w:val="none"/>
          <w:lang w:val="en-US" w:eastAsia="zh-CN"/>
        </w:rPr>
      </w:pPr>
      <w:r>
        <w:rPr>
          <w:rStyle w:val="18"/>
          <w:rFonts w:hint="eastAsia" w:ascii="宋体" w:hAnsi="宋体" w:eastAsia="宋体" w:cs="宋体"/>
          <w:color w:val="auto"/>
          <w:highlight w:val="none"/>
          <w:lang w:eastAsia="zh-CN"/>
        </w:rPr>
        <w:t>四、</w:t>
      </w:r>
      <w:r>
        <w:rPr>
          <w:rStyle w:val="18"/>
          <w:rFonts w:hint="eastAsia" w:ascii="宋体" w:hAnsi="宋体" w:eastAsia="宋体" w:cs="宋体"/>
          <w:color w:val="auto"/>
          <w:highlight w:val="none"/>
        </w:rPr>
        <w:t>投标保证金</w:t>
      </w:r>
      <w:r>
        <w:rPr>
          <w:rStyle w:val="18"/>
          <w:rFonts w:hint="eastAsia" w:ascii="宋体" w:hAnsi="宋体" w:eastAsia="宋体" w:cs="宋体"/>
          <w:color w:val="auto"/>
          <w:highlight w:val="none"/>
          <w:lang w:eastAsia="zh-CN"/>
        </w:rPr>
        <w:t>（</w:t>
      </w:r>
      <w:r>
        <w:rPr>
          <w:rStyle w:val="18"/>
          <w:rFonts w:hint="eastAsia" w:ascii="宋体" w:hAnsi="宋体" w:eastAsia="宋体" w:cs="宋体"/>
          <w:color w:val="auto"/>
          <w:highlight w:val="none"/>
          <w:lang w:val="en-US" w:eastAsia="zh-CN"/>
        </w:rPr>
        <w:t>如有）</w:t>
      </w:r>
    </w:p>
    <w:p w14:paraId="45E82FA4">
      <w:pPr>
        <w:bidi w:val="0"/>
        <w:rPr>
          <w:rFonts w:hint="eastAsia" w:ascii="宋体" w:hAnsi="宋体" w:eastAsia="宋体" w:cs="宋体"/>
          <w:sz w:val="28"/>
          <w:szCs w:val="28"/>
          <w:highlight w:val="none"/>
        </w:rPr>
      </w:pPr>
      <w:bookmarkStart w:id="31" w:name="_Toc6120"/>
      <w:bookmarkStart w:id="32" w:name="_Toc31233"/>
      <w:bookmarkStart w:id="33" w:name="_Toc4208"/>
      <w:bookmarkStart w:id="34" w:name="_Toc20030"/>
      <w:bookmarkStart w:id="35" w:name="_Toc1269"/>
      <w:r>
        <w:rPr>
          <w:rFonts w:hint="eastAsia" w:ascii="宋体" w:hAnsi="宋体" w:eastAsia="宋体" w:cs="宋体"/>
          <w:b/>
          <w:bCs/>
          <w:sz w:val="28"/>
          <w:szCs w:val="28"/>
          <w:highlight w:val="none"/>
        </w:rPr>
        <w:t>若采用转账，投标供应商应在此提供汇款凭证的复印件。</w:t>
      </w:r>
      <w:bookmarkEnd w:id="31"/>
      <w:bookmarkEnd w:id="32"/>
      <w:bookmarkEnd w:id="33"/>
      <w:bookmarkEnd w:id="34"/>
      <w:bookmarkEnd w:id="35"/>
      <w:r>
        <w:rPr>
          <w:rFonts w:hint="eastAsia" w:ascii="宋体" w:hAnsi="宋体" w:eastAsia="宋体" w:cs="宋体"/>
          <w:sz w:val="28"/>
          <w:szCs w:val="28"/>
          <w:highlight w:val="none"/>
        </w:rPr>
        <w:t xml:space="preserve"> </w:t>
      </w:r>
    </w:p>
    <w:p w14:paraId="1EF742A8">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若采用银行保函（或保证保险）形式，银行保函（或保证保险）的原件应在递交</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截止时间之前单独密封递交，银行保函的复印件应装入</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 xml:space="preserve">正、副本中。（如 未采用请忽略） </w:t>
      </w:r>
    </w:p>
    <w:p w14:paraId="40563B25">
      <w:pPr>
        <w:bidi w:val="0"/>
        <w:rPr>
          <w:rFonts w:hint="eastAsia" w:ascii="宋体" w:hAnsi="宋体" w:eastAsia="宋体" w:cs="宋体"/>
          <w:color w:val="auto"/>
          <w:kern w:val="0"/>
          <w:highlight w:val="none"/>
        </w:rPr>
      </w:pPr>
      <w:r>
        <w:rPr>
          <w:rFonts w:hint="eastAsia" w:ascii="宋体" w:hAnsi="宋体" w:eastAsia="宋体" w:cs="宋体"/>
          <w:sz w:val="28"/>
          <w:szCs w:val="28"/>
          <w:highlight w:val="none"/>
        </w:rPr>
        <w:t>如采用银行保函或保证保险的，银行保函或保证保险格式不做要求,但须在保函或保单中体现出本项目的项目名称及注明“</w:t>
      </w:r>
      <w:r>
        <w:rPr>
          <w:rFonts w:hint="eastAsia" w:ascii="宋体" w:hAnsi="宋体" w:eastAsia="宋体" w:cs="宋体"/>
          <w:b/>
          <w:bCs/>
          <w:sz w:val="28"/>
          <w:szCs w:val="28"/>
          <w:highlight w:val="none"/>
        </w:rPr>
        <w:t>投标有效期或经延长的投标有效期内保持有效</w:t>
      </w:r>
      <w:r>
        <w:rPr>
          <w:rFonts w:hint="eastAsia" w:ascii="宋体" w:hAnsi="宋体" w:eastAsia="宋体" w:cs="宋体"/>
          <w:sz w:val="28"/>
          <w:szCs w:val="28"/>
          <w:highlight w:val="none"/>
        </w:rPr>
        <w:t xml:space="preserve">”。 </w:t>
      </w:r>
      <w:r>
        <w:rPr>
          <w:rFonts w:hint="eastAsia" w:ascii="宋体" w:hAnsi="宋体" w:eastAsia="宋体" w:cs="宋体"/>
          <w:color w:val="auto"/>
          <w:kern w:val="0"/>
          <w:highlight w:val="none"/>
        </w:rPr>
        <w:t xml:space="preserve"> </w:t>
      </w:r>
      <w:bookmarkEnd w:id="26"/>
      <w:bookmarkEnd w:id="27"/>
      <w:bookmarkEnd w:id="28"/>
      <w:bookmarkEnd w:id="29"/>
      <w:bookmarkEnd w:id="30"/>
    </w:p>
    <w:p w14:paraId="774000E0">
      <w:pPr>
        <w:rPr>
          <w:rStyle w:val="20"/>
          <w:rFonts w:hint="eastAsia" w:ascii="宋体" w:hAnsi="宋体" w:eastAsia="宋体" w:cs="宋体"/>
          <w:color w:val="auto"/>
          <w:highlight w:val="none"/>
          <w:lang w:eastAsia="zh-CN"/>
        </w:rPr>
      </w:pPr>
      <w:bookmarkStart w:id="36" w:name="_Toc24207"/>
      <w:bookmarkStart w:id="37" w:name="_Toc16264"/>
      <w:bookmarkStart w:id="38" w:name="_Toc11039"/>
      <w:bookmarkStart w:id="39" w:name="_Toc27223"/>
      <w:bookmarkStart w:id="40" w:name="_Toc10965"/>
      <w:r>
        <w:rPr>
          <w:rStyle w:val="20"/>
          <w:rFonts w:hint="eastAsia" w:ascii="宋体" w:hAnsi="宋体" w:eastAsia="宋体" w:cs="宋体"/>
          <w:color w:val="auto"/>
          <w:highlight w:val="none"/>
          <w:lang w:eastAsia="zh-CN"/>
        </w:rPr>
        <w:br w:type="page"/>
      </w:r>
    </w:p>
    <w:p w14:paraId="032C1E6F">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五、</w:t>
      </w:r>
      <w:bookmarkEnd w:id="36"/>
      <w:bookmarkEnd w:id="37"/>
      <w:bookmarkEnd w:id="38"/>
      <w:bookmarkEnd w:id="39"/>
      <w:bookmarkEnd w:id="40"/>
      <w:r>
        <w:rPr>
          <w:rStyle w:val="18"/>
          <w:rFonts w:hint="eastAsia" w:ascii="宋体" w:hAnsi="宋体" w:eastAsia="宋体" w:cs="宋体"/>
          <w:color w:val="auto"/>
          <w:highlight w:val="none"/>
          <w:lang w:eastAsia="zh-CN"/>
        </w:rPr>
        <w:t>资格审查证明文件</w:t>
      </w:r>
    </w:p>
    <w:p w14:paraId="39F59593">
      <w:pPr>
        <w:widowControl/>
        <w:adjustRightInd w:val="0"/>
        <w:snapToGrid w:val="0"/>
        <w:spacing w:line="324" w:lineRule="auto"/>
        <w:ind w:firstLine="480"/>
        <w:rPr>
          <w:rFonts w:hint="eastAsia" w:ascii="宋体" w:hAnsi="宋体" w:eastAsia="宋体" w:cs="宋体"/>
          <w:color w:val="auto"/>
          <w:highlight w:val="none"/>
          <w:shd w:val="clear" w:color="auto" w:fill="FFFFFF"/>
        </w:rPr>
      </w:pPr>
      <w:bookmarkStart w:id="41" w:name="_Toc15118"/>
      <w:bookmarkStart w:id="42" w:name="_Toc25998"/>
      <w:bookmarkStart w:id="43" w:name="_Toc21524"/>
      <w:r>
        <w:rPr>
          <w:rFonts w:hint="eastAsia" w:ascii="宋体" w:hAnsi="宋体" w:eastAsia="宋体" w:cs="宋体"/>
          <w:color w:val="auto"/>
          <w:highlight w:val="none"/>
          <w:shd w:val="clear" w:color="auto" w:fill="FFFFFF"/>
          <w:lang w:eastAsia="zh-CN"/>
        </w:rPr>
        <w:t>（一）</w:t>
      </w:r>
      <w:r>
        <w:rPr>
          <w:rFonts w:hint="eastAsia" w:ascii="宋体" w:hAnsi="宋体" w:eastAsia="宋体" w:cs="宋体"/>
          <w:color w:val="auto"/>
          <w:highlight w:val="none"/>
          <w:shd w:val="clear" w:color="auto" w:fill="FFFFFF"/>
        </w:rPr>
        <w:t>一般资格条件：</w:t>
      </w:r>
    </w:p>
    <w:p w14:paraId="2CAD667A">
      <w:pPr>
        <w:spacing w:line="440" w:lineRule="exact"/>
        <w:ind w:firstLine="240" w:firstLineChars="100"/>
        <w:jc w:val="left"/>
        <w:rPr>
          <w:rFonts w:hint="eastAsia" w:ascii="宋体" w:hAnsi="宋体" w:eastAsia="宋体" w:cs="宋体"/>
          <w:color w:val="000000"/>
          <w:highlight w:val="none"/>
          <w:u w:val="single"/>
        </w:rPr>
      </w:pP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rPr>
        <w:t>具有独立承担民事责任的能力</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000000"/>
          <w:highlight w:val="none"/>
          <w:u w:val="single"/>
        </w:rPr>
        <w:t>供应商应为中华人民共和国境内具有独立法人资格，持有合法有效的企业法人营业执照或事业单位法人证书（提供营业执照或法人扫描件）</w:t>
      </w:r>
    </w:p>
    <w:p w14:paraId="21FECA5B">
      <w:pPr>
        <w:widowControl/>
        <w:adjustRightInd w:val="0"/>
        <w:snapToGrid w:val="0"/>
        <w:spacing w:line="324" w:lineRule="auto"/>
        <w:ind w:firstLine="480"/>
        <w:rPr>
          <w:rFonts w:hint="eastAsia" w:ascii="宋体" w:hAnsi="宋体" w:eastAsia="宋体" w:cs="宋体"/>
          <w:b/>
          <w:bCs/>
          <w:color w:val="auto"/>
          <w:highlight w:val="none"/>
          <w:shd w:val="clear" w:color="auto" w:fill="FFFFFF"/>
        </w:rPr>
      </w:pPr>
    </w:p>
    <w:p w14:paraId="65C1B6FA">
      <w:pPr>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2D5215AB">
      <w:pPr>
        <w:widowControl/>
        <w:numPr>
          <w:ilvl w:val="0"/>
          <w:numId w:val="0"/>
        </w:numPr>
        <w:adjustRightInd w:val="0"/>
        <w:snapToGrid w:val="0"/>
        <w:spacing w:line="324" w:lineRule="auto"/>
        <w:ind w:firstLine="480" w:firstLineChars="200"/>
        <w:rPr>
          <w:rFonts w:hint="eastAsia" w:ascii="宋体" w:hAnsi="宋体" w:eastAsia="宋体" w:cs="宋体"/>
          <w:color w:val="000000"/>
          <w:highlight w:val="none"/>
        </w:rPr>
      </w:pPr>
      <w:r>
        <w:rPr>
          <w:rFonts w:hint="eastAsia" w:ascii="宋体" w:hAnsi="宋体" w:eastAsia="宋体" w:cs="宋体"/>
          <w:color w:val="000000"/>
          <w:kern w:val="2"/>
          <w:sz w:val="24"/>
          <w:szCs w:val="24"/>
          <w:highlight w:val="none"/>
          <w:lang w:val="en-US" w:eastAsia="zh-CN" w:bidi="ar-SA"/>
        </w:rPr>
        <w:t>2、</w:t>
      </w:r>
      <w:r>
        <w:rPr>
          <w:rFonts w:hint="eastAsia" w:ascii="宋体" w:hAnsi="宋体" w:eastAsia="宋体" w:cs="宋体"/>
          <w:color w:val="000000"/>
          <w:highlight w:val="none"/>
        </w:rPr>
        <w:t>具有履行合同所必需的设备和专业技术能力：</w:t>
      </w:r>
      <w:r>
        <w:rPr>
          <w:rFonts w:hint="eastAsia" w:ascii="宋体" w:hAnsi="宋体" w:eastAsia="宋体" w:cs="宋体"/>
          <w:color w:val="000000"/>
          <w:highlight w:val="none"/>
          <w:u w:val="single"/>
        </w:rPr>
        <w:t>需附投标供应商履约能力承诺书，</w:t>
      </w:r>
      <w:r>
        <w:rPr>
          <w:rFonts w:hint="eastAsia" w:ascii="宋体" w:hAnsi="宋体" w:eastAsia="宋体" w:cs="宋体"/>
          <w:color w:val="000000"/>
          <w:highlight w:val="none"/>
        </w:rPr>
        <w:t>；</w:t>
      </w:r>
    </w:p>
    <w:p w14:paraId="0F4CEC38">
      <w:pPr>
        <w:widowControl/>
        <w:numPr>
          <w:ilvl w:val="0"/>
          <w:numId w:val="0"/>
        </w:numPr>
        <w:adjustRightInd w:val="0"/>
        <w:snapToGrid w:val="0"/>
        <w:spacing w:line="324" w:lineRule="auto"/>
        <w:rPr>
          <w:rFonts w:hint="eastAsia" w:ascii="宋体" w:hAnsi="宋体" w:eastAsia="宋体" w:cs="宋体"/>
          <w:color w:val="000000"/>
          <w:highlight w:val="none"/>
        </w:rPr>
      </w:pPr>
    </w:p>
    <w:p w14:paraId="21B15552">
      <w:pPr>
        <w:widowControl/>
        <w:numPr>
          <w:ilvl w:val="0"/>
          <w:numId w:val="0"/>
        </w:numPr>
        <w:adjustRightInd w:val="0"/>
        <w:snapToGrid w:val="0"/>
        <w:spacing w:line="324" w:lineRule="auto"/>
        <w:rPr>
          <w:rFonts w:hint="eastAsia" w:ascii="宋体" w:hAnsi="宋体" w:eastAsia="宋体" w:cs="宋体"/>
          <w:color w:val="000000"/>
          <w:highlight w:val="none"/>
        </w:rPr>
      </w:pPr>
    </w:p>
    <w:p w14:paraId="5F7CAF2F">
      <w:pPr>
        <w:jc w:val="center"/>
        <w:rPr>
          <w:rFonts w:hint="eastAsia"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履约能力承诺书</w:t>
      </w:r>
    </w:p>
    <w:p w14:paraId="6DE8A29B">
      <w:pPr>
        <w:rPr>
          <w:rFonts w:hint="eastAsia" w:ascii="宋体" w:hAnsi="宋体" w:eastAsia="宋体" w:cs="宋体"/>
          <w:color w:val="auto"/>
          <w:highlight w:val="none"/>
          <w:shd w:val="clear" w:color="auto" w:fill="FFFFFF"/>
          <w:lang w:val="en-US" w:eastAsia="zh-CN"/>
        </w:rPr>
      </w:pPr>
    </w:p>
    <w:p w14:paraId="73B84AB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708588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201DB29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我公司具有履行合同所必需的设备和专业技术能力。</w:t>
      </w:r>
    </w:p>
    <w:p w14:paraId="25C52CA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3B2DAC0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4E01292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C6071C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AD2BDC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F1CE43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75552B1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8F30E0A">
      <w:pPr>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1B133B78">
      <w:pPr>
        <w:numPr>
          <w:ilvl w:val="0"/>
          <w:numId w:val="0"/>
        </w:numPr>
        <w:spacing w:line="440" w:lineRule="exact"/>
        <w:ind w:left="-2" w:leftChars="0" w:firstLine="482" w:firstLineChars="0"/>
        <w:jc w:val="left"/>
        <w:rPr>
          <w:rFonts w:hint="eastAsia" w:ascii="宋体" w:hAnsi="宋体" w:eastAsia="宋体" w:cs="宋体"/>
          <w:b/>
          <w:bCs/>
          <w:color w:val="000000"/>
          <w:highlight w:val="none"/>
          <w:u w:val="single"/>
          <w:lang w:eastAsia="zh-CN"/>
        </w:rPr>
      </w:pPr>
      <w:r>
        <w:rPr>
          <w:rFonts w:hint="eastAsia" w:ascii="宋体" w:hAnsi="宋体" w:eastAsia="宋体" w:cs="宋体"/>
          <w:b/>
          <w:bCs/>
          <w:color w:val="000000"/>
          <w:kern w:val="2"/>
          <w:sz w:val="24"/>
          <w:szCs w:val="24"/>
          <w:highlight w:val="none"/>
          <w:lang w:val="en-US" w:eastAsia="zh-CN" w:bidi="ar-SA"/>
        </w:rPr>
        <w:t>3、</w:t>
      </w:r>
      <w:r>
        <w:rPr>
          <w:rFonts w:hint="eastAsia" w:ascii="宋体" w:hAnsi="宋体" w:eastAsia="宋体" w:cs="宋体"/>
          <w:color w:val="000000"/>
          <w:highlight w:val="none"/>
        </w:rPr>
        <w:t>法律、行政法规规定的其他条件：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网页截图并加盖投标单位公章，查询时间为本公告发布之日起至响应文件递交截止之日止）</w:t>
      </w:r>
      <w:r>
        <w:rPr>
          <w:rFonts w:hint="eastAsia" w:ascii="宋体" w:hAnsi="宋体" w:eastAsia="宋体" w:cs="宋体"/>
          <w:color w:val="000000"/>
          <w:highlight w:val="none"/>
          <w:lang w:eastAsia="zh-CN"/>
        </w:rPr>
        <w:t>。</w:t>
      </w:r>
    </w:p>
    <w:p w14:paraId="489D6E08">
      <w:pPr>
        <w:numPr>
          <w:ilvl w:val="0"/>
          <w:numId w:val="0"/>
        </w:numPr>
        <w:spacing w:line="440" w:lineRule="exact"/>
        <w:jc w:val="both"/>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3ED8885A">
      <w:pPr>
        <w:widowControl/>
        <w:numPr>
          <w:ilvl w:val="0"/>
          <w:numId w:val="0"/>
        </w:numPr>
        <w:adjustRightInd w:val="0"/>
        <w:snapToGrid w:val="0"/>
        <w:spacing w:line="324" w:lineRule="auto"/>
        <w:ind w:left="0" w:leftChars="0" w:firstLine="480" w:firstLineChars="200"/>
        <w:rPr>
          <w:rFonts w:hint="eastAsia" w:ascii="宋体" w:hAnsi="宋体" w:eastAsia="宋体" w:cs="宋体"/>
          <w:color w:val="000000"/>
          <w:highlight w:val="none"/>
          <w:u w:val="single"/>
          <w:lang w:val="en-US" w:eastAsia="zh-CN"/>
        </w:rPr>
      </w:pPr>
      <w:r>
        <w:rPr>
          <w:rFonts w:hint="eastAsia" w:ascii="宋体" w:hAnsi="宋体" w:eastAsia="宋体" w:cs="宋体"/>
          <w:color w:val="000000"/>
          <w:kern w:val="2"/>
          <w:sz w:val="24"/>
          <w:szCs w:val="24"/>
          <w:highlight w:val="none"/>
          <w:lang w:val="en-US" w:eastAsia="zh-CN" w:bidi="ar-SA"/>
        </w:rPr>
        <w:t>4、</w:t>
      </w:r>
      <w:r>
        <w:rPr>
          <w:rFonts w:hint="eastAsia" w:ascii="宋体" w:hAnsi="宋体" w:eastAsia="宋体" w:cs="宋体"/>
          <w:b w:val="0"/>
          <w:bCs w:val="0"/>
          <w:color w:val="auto"/>
          <w:highlight w:val="none"/>
        </w:rPr>
        <w:t>依法缴纳税收和社会保障资金的相关材料：提供2026年任意一个月的纳税证明和社保缴纳证明，或承诺书，加盖供应商单位公章</w:t>
      </w:r>
      <w:r>
        <w:rPr>
          <w:rFonts w:hint="eastAsia" w:ascii="宋体" w:hAnsi="宋体" w:eastAsia="宋体" w:cs="宋体"/>
          <w:b w:val="0"/>
          <w:bCs w:val="0"/>
          <w:color w:val="auto"/>
          <w:highlight w:val="none"/>
          <w:lang w:eastAsia="zh-CN"/>
        </w:rPr>
        <w:t>。</w:t>
      </w:r>
    </w:p>
    <w:p w14:paraId="01025951">
      <w:pPr>
        <w:widowControl/>
        <w:numPr>
          <w:ilvl w:val="0"/>
          <w:numId w:val="0"/>
        </w:numPr>
        <w:adjustRightInd w:val="0"/>
        <w:snapToGrid w:val="0"/>
        <w:spacing w:line="324" w:lineRule="auto"/>
        <w:ind w:leftChars="200"/>
        <w:rPr>
          <w:rFonts w:hint="eastAsia" w:ascii="宋体" w:hAnsi="宋体" w:eastAsia="宋体" w:cs="宋体"/>
          <w:color w:val="000000"/>
          <w:highlight w:val="none"/>
          <w:u w:val="single"/>
          <w:lang w:val="en-US" w:eastAsia="zh-CN"/>
        </w:rPr>
      </w:pPr>
    </w:p>
    <w:p w14:paraId="2EE077B8">
      <w:pPr>
        <w:widowControl/>
        <w:numPr>
          <w:ilvl w:val="0"/>
          <w:numId w:val="0"/>
        </w:numPr>
        <w:adjustRightInd w:val="0"/>
        <w:snapToGrid w:val="0"/>
        <w:spacing w:line="324" w:lineRule="auto"/>
        <w:ind w:leftChars="200"/>
        <w:rPr>
          <w:rFonts w:hint="eastAsia" w:ascii="宋体" w:hAnsi="宋体" w:eastAsia="宋体" w:cs="宋体"/>
          <w:color w:val="000000"/>
          <w:highlight w:val="none"/>
          <w:u w:val="single"/>
          <w:lang w:val="en-US" w:eastAsia="zh-CN"/>
        </w:rPr>
      </w:pPr>
    </w:p>
    <w:p w14:paraId="00436BF8">
      <w:pPr>
        <w:ind w:left="0" w:leftChars="0" w:firstLine="0" w:firstLineChars="0"/>
        <w:rPr>
          <w:rFonts w:hint="eastAsia" w:ascii="宋体" w:hAnsi="宋体" w:eastAsia="宋体" w:cs="宋体"/>
          <w:color w:val="auto"/>
          <w:highlight w:val="none"/>
          <w:shd w:val="clear" w:color="auto" w:fill="FFFFFF"/>
        </w:rPr>
      </w:pPr>
    </w:p>
    <w:p w14:paraId="0B44D2A2">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000000"/>
          <w:sz w:val="32"/>
          <w:szCs w:val="32"/>
          <w:highlight w:val="none"/>
          <w:u w:val="none"/>
          <w:lang w:val="en-US" w:eastAsia="zh-CN"/>
        </w:rPr>
        <w:t>具有依法缴纳税收和社会保障资金的良好记录的承诺书</w:t>
      </w:r>
    </w:p>
    <w:p w14:paraId="5DF27931">
      <w:pPr>
        <w:ind w:left="0" w:leftChars="0" w:firstLine="0" w:firstLineChars="0"/>
        <w:rPr>
          <w:rFonts w:hint="eastAsia" w:ascii="宋体" w:hAnsi="宋体" w:eastAsia="宋体" w:cs="宋体"/>
          <w:color w:val="auto"/>
          <w:highlight w:val="none"/>
          <w:shd w:val="clear" w:color="auto" w:fill="FFFFFF"/>
        </w:rPr>
      </w:pPr>
    </w:p>
    <w:p w14:paraId="00DED2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20C7F6D">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08AB79B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我公司具有依法缴纳税收和社会保障资金的良好记录。</w:t>
      </w:r>
    </w:p>
    <w:p w14:paraId="09C2898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495FAB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1903FD1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544D321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97688C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12B6FF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5DD4316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D24403D">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p>
    <w:p w14:paraId="234B031A">
      <w:pPr>
        <w:ind w:left="0" w:leftChars="0" w:firstLine="0" w:firstLineChars="0"/>
        <w:rPr>
          <w:rFonts w:hint="eastAsia" w:ascii="宋体" w:hAnsi="宋体" w:eastAsia="宋体" w:cs="宋体"/>
          <w:color w:val="auto"/>
          <w:highlight w:val="none"/>
          <w:shd w:val="clear" w:color="auto" w:fill="FFFFFF"/>
        </w:rPr>
      </w:pPr>
    </w:p>
    <w:p w14:paraId="7D4CAB73">
      <w:pPr>
        <w:ind w:left="0" w:leftChars="0" w:firstLine="0" w:firstLineChars="0"/>
        <w:rPr>
          <w:rFonts w:hint="eastAsia" w:ascii="宋体" w:hAnsi="宋体" w:eastAsia="宋体" w:cs="宋体"/>
          <w:color w:val="auto"/>
          <w:highlight w:val="none"/>
          <w:shd w:val="clear" w:color="auto" w:fill="FFFFFF"/>
        </w:rPr>
      </w:pPr>
    </w:p>
    <w:p w14:paraId="4AAFD360">
      <w:pPr>
        <w:ind w:left="0" w:leftChars="0" w:firstLine="0" w:firstLineChars="0"/>
        <w:rPr>
          <w:rFonts w:hint="eastAsia" w:ascii="宋体" w:hAnsi="宋体" w:eastAsia="宋体" w:cs="宋体"/>
          <w:color w:val="auto"/>
          <w:highlight w:val="none"/>
          <w:shd w:val="clear" w:color="auto" w:fill="FFFFFF"/>
        </w:rPr>
      </w:pPr>
    </w:p>
    <w:p w14:paraId="4BB6DD0B">
      <w:pPr>
        <w:ind w:left="0" w:leftChars="0" w:firstLine="0" w:firstLineChars="0"/>
        <w:rPr>
          <w:rFonts w:hint="eastAsia" w:ascii="宋体" w:hAnsi="宋体" w:eastAsia="宋体" w:cs="宋体"/>
          <w:color w:val="auto"/>
          <w:highlight w:val="none"/>
          <w:shd w:val="clear" w:color="auto" w:fill="FFFFFF"/>
        </w:rPr>
      </w:pPr>
    </w:p>
    <w:p w14:paraId="41D6234C">
      <w:pPr>
        <w:ind w:left="0" w:leftChars="0" w:firstLine="0" w:firstLineChars="0"/>
        <w:rPr>
          <w:rFonts w:hint="eastAsia" w:ascii="宋体" w:hAnsi="宋体" w:eastAsia="宋体" w:cs="宋体"/>
          <w:color w:val="auto"/>
          <w:highlight w:val="none"/>
          <w:shd w:val="clear" w:color="auto" w:fill="FFFFFF"/>
        </w:rPr>
      </w:pPr>
    </w:p>
    <w:p w14:paraId="43088C6C">
      <w:pPr>
        <w:ind w:left="0" w:leftChars="0" w:firstLine="0" w:firstLineChars="0"/>
        <w:rPr>
          <w:rFonts w:hint="eastAsia" w:ascii="宋体" w:hAnsi="宋体" w:eastAsia="宋体" w:cs="宋体"/>
          <w:color w:val="auto"/>
          <w:highlight w:val="none"/>
          <w:shd w:val="clear" w:color="auto" w:fill="FFFFFF"/>
        </w:rPr>
      </w:pPr>
    </w:p>
    <w:p w14:paraId="26A07BCE">
      <w:pPr>
        <w:ind w:left="0" w:leftChars="0" w:firstLine="0" w:firstLineChars="0"/>
        <w:rPr>
          <w:rFonts w:hint="eastAsia" w:ascii="宋体" w:hAnsi="宋体" w:eastAsia="宋体" w:cs="宋体"/>
          <w:color w:val="auto"/>
          <w:highlight w:val="none"/>
          <w:shd w:val="clear" w:color="auto" w:fill="FFFFFF"/>
        </w:rPr>
      </w:pPr>
    </w:p>
    <w:p w14:paraId="77C7C131">
      <w:pPr>
        <w:numPr>
          <w:ilvl w:val="0"/>
          <w:numId w:val="0"/>
        </w:numPr>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000000"/>
          <w:highlight w:val="none"/>
        </w:rPr>
        <w:t>具有良好的商业信誉和健全的财务会计制度：提供2024年度或2025年度经第三方审计的财务报告或基本开户银行出具和社的资信证明，或承诺书，加盖供应商单位公章）；</w:t>
      </w:r>
    </w:p>
    <w:p w14:paraId="0737ED53">
      <w:pPr>
        <w:widowControl w:val="0"/>
        <w:numPr>
          <w:ilvl w:val="0"/>
          <w:numId w:val="0"/>
        </w:numPr>
        <w:spacing w:line="360" w:lineRule="auto"/>
        <w:rPr>
          <w:rFonts w:hint="eastAsia" w:ascii="宋体" w:hAnsi="宋体" w:eastAsia="宋体" w:cs="宋体"/>
          <w:b w:val="0"/>
          <w:bCs w:val="0"/>
          <w:color w:val="auto"/>
          <w:highlight w:val="none"/>
        </w:rPr>
      </w:pPr>
    </w:p>
    <w:p w14:paraId="580782A3">
      <w:pPr>
        <w:widowControl w:val="0"/>
        <w:numPr>
          <w:ilvl w:val="0"/>
          <w:numId w:val="0"/>
        </w:numPr>
        <w:spacing w:line="360" w:lineRule="auto"/>
        <w:rPr>
          <w:rFonts w:hint="eastAsia" w:ascii="宋体" w:hAnsi="宋体" w:eastAsia="宋体" w:cs="宋体"/>
          <w:b w:val="0"/>
          <w:bCs w:val="0"/>
          <w:color w:val="auto"/>
          <w:highlight w:val="none"/>
        </w:rPr>
      </w:pPr>
    </w:p>
    <w:p w14:paraId="29ACCCA0">
      <w:pPr>
        <w:widowControl w:val="0"/>
        <w:numPr>
          <w:ilvl w:val="0"/>
          <w:numId w:val="0"/>
        </w:numPr>
        <w:spacing w:line="360" w:lineRule="auto"/>
        <w:rPr>
          <w:rFonts w:hint="eastAsia" w:ascii="宋体" w:hAnsi="宋体" w:eastAsia="宋体" w:cs="宋体"/>
          <w:b w:val="0"/>
          <w:bCs w:val="0"/>
          <w:color w:val="auto"/>
          <w:highlight w:val="none"/>
        </w:rPr>
      </w:pPr>
    </w:p>
    <w:p w14:paraId="25BDEA4D">
      <w:pPr>
        <w:widowControl w:val="0"/>
        <w:numPr>
          <w:ilvl w:val="0"/>
          <w:numId w:val="0"/>
        </w:numPr>
        <w:spacing w:line="360" w:lineRule="auto"/>
        <w:rPr>
          <w:rFonts w:hint="eastAsia" w:ascii="宋体" w:hAnsi="宋体" w:eastAsia="宋体" w:cs="宋体"/>
          <w:b w:val="0"/>
          <w:bCs w:val="0"/>
          <w:color w:val="auto"/>
          <w:highlight w:val="none"/>
        </w:rPr>
      </w:pPr>
    </w:p>
    <w:p w14:paraId="79789684">
      <w:pPr>
        <w:widowControl w:val="0"/>
        <w:numPr>
          <w:ilvl w:val="0"/>
          <w:numId w:val="0"/>
        </w:numPr>
        <w:spacing w:line="360" w:lineRule="auto"/>
        <w:rPr>
          <w:rFonts w:hint="eastAsia" w:ascii="宋体" w:hAnsi="宋体" w:eastAsia="宋体" w:cs="宋体"/>
          <w:b w:val="0"/>
          <w:bCs w:val="0"/>
          <w:color w:val="auto"/>
          <w:highlight w:val="none"/>
        </w:rPr>
      </w:pPr>
    </w:p>
    <w:p w14:paraId="7A2470C7">
      <w:pPr>
        <w:widowControl w:val="0"/>
        <w:numPr>
          <w:ilvl w:val="0"/>
          <w:numId w:val="0"/>
        </w:numPr>
        <w:spacing w:line="360" w:lineRule="auto"/>
        <w:rPr>
          <w:rFonts w:hint="eastAsia" w:ascii="宋体" w:hAnsi="宋体" w:eastAsia="宋体" w:cs="宋体"/>
          <w:b w:val="0"/>
          <w:bCs w:val="0"/>
          <w:color w:val="auto"/>
          <w:highlight w:val="none"/>
        </w:rPr>
      </w:pPr>
    </w:p>
    <w:p w14:paraId="111ED9C1">
      <w:pPr>
        <w:widowControl w:val="0"/>
        <w:numPr>
          <w:ilvl w:val="0"/>
          <w:numId w:val="0"/>
        </w:numPr>
        <w:spacing w:line="360" w:lineRule="auto"/>
        <w:rPr>
          <w:rFonts w:hint="eastAsia" w:ascii="宋体" w:hAnsi="宋体" w:eastAsia="宋体" w:cs="宋体"/>
          <w:b w:val="0"/>
          <w:bCs w:val="0"/>
          <w:color w:val="auto"/>
          <w:highlight w:val="none"/>
        </w:rPr>
      </w:pPr>
    </w:p>
    <w:p w14:paraId="5A4F657D">
      <w:pPr>
        <w:widowControl w:val="0"/>
        <w:numPr>
          <w:ilvl w:val="0"/>
          <w:numId w:val="0"/>
        </w:numPr>
        <w:spacing w:line="360" w:lineRule="auto"/>
        <w:rPr>
          <w:rFonts w:hint="eastAsia" w:ascii="宋体" w:hAnsi="宋体" w:eastAsia="宋体" w:cs="宋体"/>
          <w:b w:val="0"/>
          <w:bCs w:val="0"/>
          <w:color w:val="auto"/>
          <w:highlight w:val="none"/>
        </w:rPr>
      </w:pPr>
    </w:p>
    <w:p w14:paraId="674975A5">
      <w:pPr>
        <w:widowControl w:val="0"/>
        <w:numPr>
          <w:ilvl w:val="0"/>
          <w:numId w:val="0"/>
        </w:numPr>
        <w:spacing w:line="360" w:lineRule="auto"/>
        <w:rPr>
          <w:rFonts w:hint="eastAsia" w:ascii="宋体" w:hAnsi="宋体" w:eastAsia="宋体" w:cs="宋体"/>
          <w:b w:val="0"/>
          <w:bCs w:val="0"/>
          <w:color w:val="auto"/>
          <w:highlight w:val="none"/>
        </w:rPr>
      </w:pPr>
    </w:p>
    <w:p w14:paraId="7EBEFEB9">
      <w:pPr>
        <w:widowControl w:val="0"/>
        <w:numPr>
          <w:ilvl w:val="0"/>
          <w:numId w:val="0"/>
        </w:numPr>
        <w:spacing w:line="360" w:lineRule="auto"/>
        <w:rPr>
          <w:rFonts w:hint="eastAsia" w:ascii="宋体" w:hAnsi="宋体" w:eastAsia="宋体" w:cs="宋体"/>
          <w:b w:val="0"/>
          <w:bCs w:val="0"/>
          <w:color w:val="auto"/>
          <w:highlight w:val="none"/>
        </w:rPr>
      </w:pPr>
    </w:p>
    <w:p w14:paraId="57E44FB9">
      <w:pPr>
        <w:widowControl w:val="0"/>
        <w:numPr>
          <w:ilvl w:val="0"/>
          <w:numId w:val="0"/>
        </w:numPr>
        <w:spacing w:line="360" w:lineRule="auto"/>
        <w:rPr>
          <w:rFonts w:hint="eastAsia" w:ascii="宋体" w:hAnsi="宋体" w:eastAsia="宋体" w:cs="宋体"/>
          <w:b w:val="0"/>
          <w:bCs w:val="0"/>
          <w:color w:val="auto"/>
          <w:highlight w:val="none"/>
        </w:rPr>
      </w:pPr>
    </w:p>
    <w:p w14:paraId="4687A1A0">
      <w:pPr>
        <w:widowControl w:val="0"/>
        <w:numPr>
          <w:ilvl w:val="0"/>
          <w:numId w:val="0"/>
        </w:numPr>
        <w:spacing w:line="360" w:lineRule="auto"/>
        <w:rPr>
          <w:rFonts w:hint="eastAsia" w:ascii="宋体" w:hAnsi="宋体" w:eastAsia="宋体" w:cs="宋体"/>
          <w:b w:val="0"/>
          <w:bCs w:val="0"/>
          <w:color w:val="auto"/>
          <w:highlight w:val="none"/>
        </w:rPr>
      </w:pPr>
    </w:p>
    <w:p w14:paraId="04B4384B">
      <w:pPr>
        <w:widowControl w:val="0"/>
        <w:numPr>
          <w:ilvl w:val="0"/>
          <w:numId w:val="0"/>
        </w:numPr>
        <w:spacing w:line="360" w:lineRule="auto"/>
        <w:rPr>
          <w:rFonts w:hint="eastAsia" w:ascii="宋体" w:hAnsi="宋体" w:eastAsia="宋体" w:cs="宋体"/>
          <w:b w:val="0"/>
          <w:bCs w:val="0"/>
          <w:color w:val="auto"/>
          <w:highlight w:val="none"/>
        </w:rPr>
      </w:pPr>
    </w:p>
    <w:p w14:paraId="6DFBB850">
      <w:pPr>
        <w:widowControl w:val="0"/>
        <w:numPr>
          <w:ilvl w:val="0"/>
          <w:numId w:val="0"/>
        </w:numPr>
        <w:spacing w:line="360" w:lineRule="auto"/>
        <w:rPr>
          <w:rFonts w:hint="eastAsia" w:ascii="宋体" w:hAnsi="宋体" w:eastAsia="宋体" w:cs="宋体"/>
          <w:b w:val="0"/>
          <w:bCs w:val="0"/>
          <w:color w:val="auto"/>
          <w:highlight w:val="none"/>
        </w:rPr>
      </w:pPr>
    </w:p>
    <w:p w14:paraId="64B28B41">
      <w:pPr>
        <w:widowControl w:val="0"/>
        <w:numPr>
          <w:ilvl w:val="0"/>
          <w:numId w:val="0"/>
        </w:numPr>
        <w:spacing w:line="360" w:lineRule="auto"/>
        <w:rPr>
          <w:rFonts w:hint="eastAsia" w:ascii="宋体" w:hAnsi="宋体" w:eastAsia="宋体" w:cs="宋体"/>
          <w:b w:val="0"/>
          <w:bCs w:val="0"/>
          <w:color w:val="auto"/>
          <w:highlight w:val="none"/>
        </w:rPr>
      </w:pPr>
    </w:p>
    <w:p w14:paraId="4F72DDB3">
      <w:pPr>
        <w:widowControl w:val="0"/>
        <w:numPr>
          <w:ilvl w:val="0"/>
          <w:numId w:val="0"/>
        </w:numPr>
        <w:spacing w:line="360" w:lineRule="auto"/>
        <w:rPr>
          <w:rFonts w:hint="eastAsia" w:ascii="宋体" w:hAnsi="宋体" w:eastAsia="宋体" w:cs="宋体"/>
          <w:b w:val="0"/>
          <w:bCs w:val="0"/>
          <w:color w:val="auto"/>
          <w:highlight w:val="none"/>
        </w:rPr>
      </w:pPr>
    </w:p>
    <w:p w14:paraId="368AD990">
      <w:pPr>
        <w:widowControl w:val="0"/>
        <w:numPr>
          <w:ilvl w:val="0"/>
          <w:numId w:val="0"/>
        </w:numPr>
        <w:spacing w:line="360" w:lineRule="auto"/>
        <w:rPr>
          <w:rFonts w:hint="eastAsia" w:ascii="宋体" w:hAnsi="宋体" w:eastAsia="宋体" w:cs="宋体"/>
          <w:b w:val="0"/>
          <w:bCs w:val="0"/>
          <w:color w:val="auto"/>
          <w:highlight w:val="none"/>
        </w:rPr>
      </w:pPr>
    </w:p>
    <w:p w14:paraId="782C85FC">
      <w:pPr>
        <w:widowControl w:val="0"/>
        <w:numPr>
          <w:ilvl w:val="0"/>
          <w:numId w:val="0"/>
        </w:numPr>
        <w:spacing w:line="360" w:lineRule="auto"/>
        <w:rPr>
          <w:rFonts w:hint="eastAsia" w:ascii="宋体" w:hAnsi="宋体" w:eastAsia="宋体" w:cs="宋体"/>
          <w:b w:val="0"/>
          <w:bCs w:val="0"/>
          <w:color w:val="auto"/>
          <w:highlight w:val="none"/>
        </w:rPr>
      </w:pPr>
    </w:p>
    <w:p w14:paraId="4449EACD">
      <w:pPr>
        <w:widowControl w:val="0"/>
        <w:numPr>
          <w:ilvl w:val="0"/>
          <w:numId w:val="0"/>
        </w:numPr>
        <w:spacing w:line="360" w:lineRule="auto"/>
        <w:rPr>
          <w:rFonts w:hint="eastAsia" w:ascii="宋体" w:hAnsi="宋体" w:eastAsia="宋体" w:cs="宋体"/>
          <w:b w:val="0"/>
          <w:bCs w:val="0"/>
          <w:color w:val="auto"/>
          <w:highlight w:val="none"/>
        </w:rPr>
      </w:pPr>
    </w:p>
    <w:p w14:paraId="2881F7E4">
      <w:pPr>
        <w:widowControl w:val="0"/>
        <w:numPr>
          <w:ilvl w:val="0"/>
          <w:numId w:val="0"/>
        </w:numPr>
        <w:spacing w:line="360" w:lineRule="auto"/>
        <w:rPr>
          <w:rFonts w:hint="eastAsia" w:ascii="宋体" w:hAnsi="宋体" w:eastAsia="宋体" w:cs="宋体"/>
          <w:b w:val="0"/>
          <w:bCs w:val="0"/>
          <w:color w:val="auto"/>
          <w:highlight w:val="none"/>
        </w:rPr>
      </w:pPr>
    </w:p>
    <w:p w14:paraId="70B51BF0">
      <w:pPr>
        <w:widowControl w:val="0"/>
        <w:numPr>
          <w:ilvl w:val="0"/>
          <w:numId w:val="0"/>
        </w:numPr>
        <w:spacing w:line="360" w:lineRule="auto"/>
        <w:rPr>
          <w:rFonts w:hint="eastAsia" w:ascii="宋体" w:hAnsi="宋体" w:eastAsia="宋体" w:cs="宋体"/>
          <w:b w:val="0"/>
          <w:bCs w:val="0"/>
          <w:color w:val="auto"/>
          <w:highlight w:val="none"/>
        </w:rPr>
      </w:pPr>
    </w:p>
    <w:p w14:paraId="0F832963">
      <w:pPr>
        <w:widowControl w:val="0"/>
        <w:numPr>
          <w:ilvl w:val="0"/>
          <w:numId w:val="0"/>
        </w:numPr>
        <w:spacing w:line="360" w:lineRule="auto"/>
        <w:rPr>
          <w:rFonts w:hint="eastAsia" w:ascii="宋体" w:hAnsi="宋体" w:eastAsia="宋体" w:cs="宋体"/>
          <w:b w:val="0"/>
          <w:bCs w:val="0"/>
          <w:color w:val="auto"/>
          <w:highlight w:val="none"/>
        </w:rPr>
      </w:pPr>
    </w:p>
    <w:p w14:paraId="340D13B3">
      <w:pPr>
        <w:widowControl w:val="0"/>
        <w:numPr>
          <w:ilvl w:val="0"/>
          <w:numId w:val="0"/>
        </w:numPr>
        <w:spacing w:line="360" w:lineRule="auto"/>
        <w:rPr>
          <w:rFonts w:hint="eastAsia" w:ascii="宋体" w:hAnsi="宋体" w:eastAsia="宋体" w:cs="宋体"/>
          <w:b w:val="0"/>
          <w:bCs w:val="0"/>
          <w:color w:val="auto"/>
          <w:highlight w:val="none"/>
        </w:rPr>
      </w:pPr>
    </w:p>
    <w:p w14:paraId="7D5E21CC">
      <w:pPr>
        <w:widowControl w:val="0"/>
        <w:numPr>
          <w:ilvl w:val="0"/>
          <w:numId w:val="0"/>
        </w:numPr>
        <w:spacing w:line="360" w:lineRule="auto"/>
        <w:rPr>
          <w:rFonts w:hint="eastAsia" w:ascii="宋体" w:hAnsi="宋体" w:eastAsia="宋体" w:cs="宋体"/>
          <w:b w:val="0"/>
          <w:bCs w:val="0"/>
          <w:color w:val="auto"/>
          <w:highlight w:val="none"/>
        </w:rPr>
      </w:pPr>
    </w:p>
    <w:p w14:paraId="5F694020">
      <w:pPr>
        <w:widowControl w:val="0"/>
        <w:numPr>
          <w:ilvl w:val="0"/>
          <w:numId w:val="0"/>
        </w:numPr>
        <w:spacing w:line="360" w:lineRule="auto"/>
        <w:rPr>
          <w:rFonts w:hint="eastAsia" w:ascii="宋体" w:hAnsi="宋体" w:eastAsia="宋体" w:cs="宋体"/>
          <w:b w:val="0"/>
          <w:bCs w:val="0"/>
          <w:color w:val="auto"/>
          <w:highlight w:val="none"/>
        </w:rPr>
      </w:pPr>
    </w:p>
    <w:p w14:paraId="4F63D6F9">
      <w:pPr>
        <w:widowControl w:val="0"/>
        <w:numPr>
          <w:ilvl w:val="0"/>
          <w:numId w:val="0"/>
        </w:numPr>
        <w:spacing w:line="360" w:lineRule="auto"/>
        <w:rPr>
          <w:rFonts w:hint="eastAsia" w:ascii="宋体" w:hAnsi="宋体" w:eastAsia="宋体" w:cs="宋体"/>
          <w:b w:val="0"/>
          <w:bCs w:val="0"/>
          <w:color w:val="auto"/>
          <w:highlight w:val="none"/>
        </w:rPr>
      </w:pPr>
    </w:p>
    <w:p w14:paraId="73E12F89">
      <w:pPr>
        <w:widowControl w:val="0"/>
        <w:numPr>
          <w:ilvl w:val="0"/>
          <w:numId w:val="0"/>
        </w:numPr>
        <w:spacing w:line="360" w:lineRule="auto"/>
        <w:rPr>
          <w:rFonts w:hint="eastAsia" w:ascii="宋体" w:hAnsi="宋体" w:eastAsia="宋体" w:cs="宋体"/>
          <w:b w:val="0"/>
          <w:bCs w:val="0"/>
          <w:color w:val="auto"/>
          <w:highlight w:val="none"/>
        </w:rPr>
      </w:pPr>
    </w:p>
    <w:p w14:paraId="336442E5">
      <w:pPr>
        <w:widowControl w:val="0"/>
        <w:numPr>
          <w:ilvl w:val="0"/>
          <w:numId w:val="0"/>
        </w:numPr>
        <w:spacing w:line="360" w:lineRule="auto"/>
        <w:rPr>
          <w:rFonts w:hint="eastAsia" w:ascii="宋体" w:hAnsi="宋体" w:eastAsia="宋体" w:cs="宋体"/>
          <w:b w:val="0"/>
          <w:bCs w:val="0"/>
          <w:color w:val="auto"/>
          <w:highlight w:val="none"/>
        </w:rPr>
      </w:pPr>
    </w:p>
    <w:p w14:paraId="638325D8">
      <w:pPr>
        <w:numPr>
          <w:ilvl w:val="0"/>
          <w:numId w:val="0"/>
        </w:numPr>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4"/>
          <w:szCs w:val="24"/>
          <w:lang w:val="en-US" w:eastAsia="zh-CN" w:bidi="ar-SA"/>
        </w:rPr>
        <w:t>6、</w:t>
      </w:r>
      <w:r>
        <w:rPr>
          <w:rFonts w:hint="eastAsia" w:ascii="宋体" w:hAnsi="宋体" w:eastAsia="宋体" w:cs="宋体"/>
          <w:b w:val="0"/>
          <w:bCs w:val="0"/>
          <w:color w:val="auto"/>
          <w:highlight w:val="none"/>
        </w:rPr>
        <w:t>参加本次招标活动前三年内，在经营活动中没有违法违规记录：提供参加招标活动前3年内在经营活动中没有重大违法记录的书面声明；</w:t>
      </w:r>
    </w:p>
    <w:p w14:paraId="6C666603">
      <w:pPr>
        <w:widowControl w:val="0"/>
        <w:numPr>
          <w:ilvl w:val="0"/>
          <w:numId w:val="0"/>
        </w:numPr>
        <w:spacing w:line="360" w:lineRule="auto"/>
        <w:rPr>
          <w:rFonts w:hint="eastAsia" w:ascii="宋体" w:hAnsi="宋体" w:eastAsia="宋体" w:cs="宋体"/>
          <w:b w:val="0"/>
          <w:bCs w:val="0"/>
          <w:color w:val="auto"/>
          <w:highlight w:val="none"/>
        </w:rPr>
      </w:pPr>
    </w:p>
    <w:p w14:paraId="649B3F04">
      <w:pPr>
        <w:widowControl w:val="0"/>
        <w:numPr>
          <w:ilvl w:val="0"/>
          <w:numId w:val="0"/>
        </w:numPr>
        <w:spacing w:line="360" w:lineRule="auto"/>
        <w:rPr>
          <w:rFonts w:hint="eastAsia" w:ascii="宋体" w:hAnsi="宋体" w:eastAsia="宋体" w:cs="宋体"/>
          <w:b w:val="0"/>
          <w:bCs w:val="0"/>
          <w:color w:val="auto"/>
          <w:highlight w:val="none"/>
        </w:rPr>
      </w:pPr>
    </w:p>
    <w:p w14:paraId="5DFF8E5E">
      <w:pPr>
        <w:widowControl w:val="0"/>
        <w:numPr>
          <w:ilvl w:val="0"/>
          <w:numId w:val="0"/>
        </w:numPr>
        <w:spacing w:line="360" w:lineRule="auto"/>
        <w:rPr>
          <w:rFonts w:hint="eastAsia" w:ascii="宋体" w:hAnsi="宋体" w:eastAsia="宋体" w:cs="宋体"/>
          <w:b w:val="0"/>
          <w:bCs w:val="0"/>
          <w:color w:val="auto"/>
          <w:highlight w:val="none"/>
        </w:rPr>
      </w:pPr>
    </w:p>
    <w:p w14:paraId="3ECD356F">
      <w:pPr>
        <w:widowControl w:val="0"/>
        <w:numPr>
          <w:ilvl w:val="0"/>
          <w:numId w:val="0"/>
        </w:numPr>
        <w:spacing w:line="360" w:lineRule="auto"/>
        <w:rPr>
          <w:rFonts w:hint="eastAsia" w:ascii="宋体" w:hAnsi="宋体" w:eastAsia="宋体" w:cs="宋体"/>
          <w:b w:val="0"/>
          <w:bCs w:val="0"/>
          <w:color w:val="auto"/>
          <w:highlight w:val="none"/>
        </w:rPr>
      </w:pPr>
    </w:p>
    <w:p w14:paraId="18501F9F">
      <w:pPr>
        <w:widowControl w:val="0"/>
        <w:numPr>
          <w:ilvl w:val="0"/>
          <w:numId w:val="0"/>
        </w:numPr>
        <w:spacing w:line="360" w:lineRule="auto"/>
        <w:rPr>
          <w:rFonts w:hint="eastAsia" w:ascii="宋体" w:hAnsi="宋体" w:eastAsia="宋体" w:cs="宋体"/>
          <w:b w:val="0"/>
          <w:bCs w:val="0"/>
          <w:color w:val="auto"/>
          <w:highlight w:val="none"/>
        </w:rPr>
      </w:pPr>
    </w:p>
    <w:p w14:paraId="3660368F">
      <w:pPr>
        <w:widowControl w:val="0"/>
        <w:numPr>
          <w:ilvl w:val="0"/>
          <w:numId w:val="0"/>
        </w:numPr>
        <w:spacing w:line="360" w:lineRule="auto"/>
        <w:rPr>
          <w:rFonts w:hint="eastAsia" w:ascii="宋体" w:hAnsi="宋体" w:eastAsia="宋体" w:cs="宋体"/>
          <w:b w:val="0"/>
          <w:bCs w:val="0"/>
          <w:color w:val="auto"/>
          <w:highlight w:val="none"/>
        </w:rPr>
      </w:pPr>
    </w:p>
    <w:p w14:paraId="7C78FC99">
      <w:pPr>
        <w:widowControl w:val="0"/>
        <w:numPr>
          <w:ilvl w:val="0"/>
          <w:numId w:val="0"/>
        </w:numPr>
        <w:spacing w:line="360" w:lineRule="auto"/>
        <w:rPr>
          <w:rFonts w:hint="eastAsia" w:ascii="宋体" w:hAnsi="宋体" w:eastAsia="宋体" w:cs="宋体"/>
          <w:b w:val="0"/>
          <w:bCs w:val="0"/>
          <w:color w:val="auto"/>
          <w:highlight w:val="none"/>
        </w:rPr>
      </w:pPr>
    </w:p>
    <w:p w14:paraId="23E101AC">
      <w:pPr>
        <w:widowControl w:val="0"/>
        <w:numPr>
          <w:ilvl w:val="0"/>
          <w:numId w:val="0"/>
        </w:numPr>
        <w:spacing w:line="360" w:lineRule="auto"/>
        <w:rPr>
          <w:rFonts w:hint="eastAsia" w:ascii="宋体" w:hAnsi="宋体" w:eastAsia="宋体" w:cs="宋体"/>
          <w:b w:val="0"/>
          <w:bCs w:val="0"/>
          <w:color w:val="auto"/>
          <w:highlight w:val="none"/>
        </w:rPr>
      </w:pPr>
    </w:p>
    <w:p w14:paraId="0607E0DC">
      <w:pPr>
        <w:widowControl w:val="0"/>
        <w:numPr>
          <w:ilvl w:val="0"/>
          <w:numId w:val="0"/>
        </w:numPr>
        <w:spacing w:line="360" w:lineRule="auto"/>
        <w:rPr>
          <w:rFonts w:hint="eastAsia" w:ascii="宋体" w:hAnsi="宋体" w:eastAsia="宋体" w:cs="宋体"/>
          <w:b w:val="0"/>
          <w:bCs w:val="0"/>
          <w:color w:val="auto"/>
          <w:highlight w:val="none"/>
        </w:rPr>
      </w:pPr>
    </w:p>
    <w:p w14:paraId="5B1A8DD6">
      <w:pPr>
        <w:widowControl w:val="0"/>
        <w:numPr>
          <w:ilvl w:val="0"/>
          <w:numId w:val="0"/>
        </w:numPr>
        <w:spacing w:line="360" w:lineRule="auto"/>
        <w:rPr>
          <w:rFonts w:hint="eastAsia" w:ascii="宋体" w:hAnsi="宋体" w:eastAsia="宋体" w:cs="宋体"/>
          <w:b w:val="0"/>
          <w:bCs w:val="0"/>
          <w:color w:val="auto"/>
          <w:highlight w:val="none"/>
        </w:rPr>
      </w:pPr>
    </w:p>
    <w:p w14:paraId="08DEF180">
      <w:pPr>
        <w:widowControl w:val="0"/>
        <w:numPr>
          <w:ilvl w:val="0"/>
          <w:numId w:val="0"/>
        </w:numPr>
        <w:spacing w:line="360" w:lineRule="auto"/>
        <w:rPr>
          <w:rFonts w:hint="eastAsia" w:ascii="宋体" w:hAnsi="宋体" w:eastAsia="宋体" w:cs="宋体"/>
          <w:b w:val="0"/>
          <w:bCs w:val="0"/>
          <w:color w:val="auto"/>
          <w:highlight w:val="none"/>
        </w:rPr>
      </w:pPr>
    </w:p>
    <w:p w14:paraId="4A110CFA">
      <w:pPr>
        <w:widowControl w:val="0"/>
        <w:numPr>
          <w:ilvl w:val="0"/>
          <w:numId w:val="0"/>
        </w:numPr>
        <w:spacing w:line="360" w:lineRule="auto"/>
        <w:rPr>
          <w:rFonts w:hint="eastAsia" w:ascii="宋体" w:hAnsi="宋体" w:eastAsia="宋体" w:cs="宋体"/>
          <w:b w:val="0"/>
          <w:bCs w:val="0"/>
          <w:color w:val="auto"/>
          <w:highlight w:val="none"/>
        </w:rPr>
      </w:pPr>
    </w:p>
    <w:p w14:paraId="6E7389B1">
      <w:pPr>
        <w:widowControl w:val="0"/>
        <w:numPr>
          <w:ilvl w:val="0"/>
          <w:numId w:val="0"/>
        </w:numPr>
        <w:spacing w:line="360" w:lineRule="auto"/>
        <w:rPr>
          <w:rFonts w:hint="eastAsia" w:ascii="宋体" w:hAnsi="宋体" w:eastAsia="宋体" w:cs="宋体"/>
          <w:b w:val="0"/>
          <w:bCs w:val="0"/>
          <w:color w:val="auto"/>
          <w:highlight w:val="none"/>
        </w:rPr>
      </w:pPr>
    </w:p>
    <w:p w14:paraId="094F05C2">
      <w:pPr>
        <w:widowControl w:val="0"/>
        <w:numPr>
          <w:ilvl w:val="0"/>
          <w:numId w:val="0"/>
        </w:numPr>
        <w:spacing w:line="360" w:lineRule="auto"/>
        <w:rPr>
          <w:rFonts w:hint="eastAsia" w:ascii="宋体" w:hAnsi="宋体" w:eastAsia="宋体" w:cs="宋体"/>
          <w:b w:val="0"/>
          <w:bCs w:val="0"/>
          <w:color w:val="auto"/>
          <w:highlight w:val="none"/>
        </w:rPr>
      </w:pPr>
    </w:p>
    <w:p w14:paraId="7CC6A5A2">
      <w:pPr>
        <w:widowControl w:val="0"/>
        <w:numPr>
          <w:ilvl w:val="0"/>
          <w:numId w:val="0"/>
        </w:numPr>
        <w:spacing w:line="360" w:lineRule="auto"/>
        <w:rPr>
          <w:rFonts w:hint="eastAsia" w:ascii="宋体" w:hAnsi="宋体" w:eastAsia="宋体" w:cs="宋体"/>
          <w:b w:val="0"/>
          <w:bCs w:val="0"/>
          <w:color w:val="auto"/>
          <w:highlight w:val="none"/>
        </w:rPr>
      </w:pPr>
    </w:p>
    <w:p w14:paraId="368504A5">
      <w:pPr>
        <w:widowControl w:val="0"/>
        <w:numPr>
          <w:ilvl w:val="0"/>
          <w:numId w:val="0"/>
        </w:numPr>
        <w:spacing w:line="360" w:lineRule="auto"/>
        <w:rPr>
          <w:rFonts w:hint="eastAsia" w:ascii="宋体" w:hAnsi="宋体" w:eastAsia="宋体" w:cs="宋体"/>
          <w:b w:val="0"/>
          <w:bCs w:val="0"/>
          <w:color w:val="auto"/>
          <w:highlight w:val="none"/>
        </w:rPr>
      </w:pPr>
    </w:p>
    <w:p w14:paraId="253556F6">
      <w:pPr>
        <w:widowControl w:val="0"/>
        <w:numPr>
          <w:ilvl w:val="0"/>
          <w:numId w:val="0"/>
        </w:numPr>
        <w:spacing w:line="360" w:lineRule="auto"/>
        <w:rPr>
          <w:rFonts w:hint="eastAsia" w:ascii="宋体" w:hAnsi="宋体" w:eastAsia="宋体" w:cs="宋体"/>
          <w:b w:val="0"/>
          <w:bCs w:val="0"/>
          <w:color w:val="auto"/>
          <w:highlight w:val="none"/>
        </w:rPr>
      </w:pPr>
    </w:p>
    <w:p w14:paraId="655BE119">
      <w:pPr>
        <w:widowControl w:val="0"/>
        <w:numPr>
          <w:ilvl w:val="0"/>
          <w:numId w:val="0"/>
        </w:numPr>
        <w:spacing w:line="360" w:lineRule="auto"/>
        <w:rPr>
          <w:rFonts w:hint="eastAsia" w:ascii="宋体" w:hAnsi="宋体" w:eastAsia="宋体" w:cs="宋体"/>
          <w:b w:val="0"/>
          <w:bCs w:val="0"/>
          <w:color w:val="auto"/>
          <w:highlight w:val="none"/>
        </w:rPr>
      </w:pPr>
    </w:p>
    <w:p w14:paraId="701589E1">
      <w:pPr>
        <w:widowControl w:val="0"/>
        <w:numPr>
          <w:ilvl w:val="0"/>
          <w:numId w:val="0"/>
        </w:numPr>
        <w:spacing w:line="360" w:lineRule="auto"/>
        <w:rPr>
          <w:rFonts w:hint="eastAsia" w:ascii="宋体" w:hAnsi="宋体" w:eastAsia="宋体" w:cs="宋体"/>
          <w:b w:val="0"/>
          <w:bCs w:val="0"/>
          <w:color w:val="auto"/>
          <w:highlight w:val="none"/>
        </w:rPr>
      </w:pPr>
    </w:p>
    <w:p w14:paraId="1622B7FA">
      <w:pPr>
        <w:widowControl w:val="0"/>
        <w:numPr>
          <w:ilvl w:val="0"/>
          <w:numId w:val="0"/>
        </w:numPr>
        <w:spacing w:line="360" w:lineRule="auto"/>
        <w:rPr>
          <w:rFonts w:hint="eastAsia" w:ascii="宋体" w:hAnsi="宋体" w:eastAsia="宋体" w:cs="宋体"/>
          <w:b w:val="0"/>
          <w:bCs w:val="0"/>
          <w:color w:val="auto"/>
          <w:highlight w:val="none"/>
        </w:rPr>
      </w:pPr>
    </w:p>
    <w:p w14:paraId="322671B3">
      <w:pPr>
        <w:widowControl w:val="0"/>
        <w:numPr>
          <w:ilvl w:val="0"/>
          <w:numId w:val="0"/>
        </w:numPr>
        <w:spacing w:line="360" w:lineRule="auto"/>
        <w:rPr>
          <w:rFonts w:hint="eastAsia" w:ascii="宋体" w:hAnsi="宋体" w:eastAsia="宋体" w:cs="宋体"/>
          <w:b w:val="0"/>
          <w:bCs w:val="0"/>
          <w:color w:val="auto"/>
          <w:highlight w:val="none"/>
        </w:rPr>
      </w:pPr>
    </w:p>
    <w:p w14:paraId="6DFB8C55">
      <w:pPr>
        <w:widowControl w:val="0"/>
        <w:numPr>
          <w:ilvl w:val="0"/>
          <w:numId w:val="0"/>
        </w:numPr>
        <w:spacing w:line="360" w:lineRule="auto"/>
        <w:rPr>
          <w:rFonts w:hint="eastAsia" w:ascii="宋体" w:hAnsi="宋体" w:eastAsia="宋体" w:cs="宋体"/>
          <w:b w:val="0"/>
          <w:bCs w:val="0"/>
          <w:color w:val="auto"/>
          <w:highlight w:val="none"/>
        </w:rPr>
      </w:pPr>
    </w:p>
    <w:p w14:paraId="454CCA56">
      <w:pPr>
        <w:widowControl w:val="0"/>
        <w:numPr>
          <w:ilvl w:val="0"/>
          <w:numId w:val="0"/>
        </w:numPr>
        <w:spacing w:line="360" w:lineRule="auto"/>
        <w:rPr>
          <w:rFonts w:hint="eastAsia" w:ascii="宋体" w:hAnsi="宋体" w:eastAsia="宋体" w:cs="宋体"/>
          <w:b w:val="0"/>
          <w:bCs w:val="0"/>
          <w:color w:val="auto"/>
          <w:highlight w:val="none"/>
        </w:rPr>
      </w:pPr>
    </w:p>
    <w:p w14:paraId="775D1B16">
      <w:pPr>
        <w:widowControl w:val="0"/>
        <w:numPr>
          <w:ilvl w:val="0"/>
          <w:numId w:val="0"/>
        </w:numPr>
        <w:spacing w:line="360" w:lineRule="auto"/>
        <w:rPr>
          <w:rFonts w:hint="eastAsia" w:ascii="宋体" w:hAnsi="宋体" w:eastAsia="宋体" w:cs="宋体"/>
          <w:b w:val="0"/>
          <w:bCs w:val="0"/>
          <w:color w:val="auto"/>
          <w:highlight w:val="none"/>
        </w:rPr>
      </w:pPr>
    </w:p>
    <w:p w14:paraId="77901E24">
      <w:pPr>
        <w:widowControl w:val="0"/>
        <w:numPr>
          <w:ilvl w:val="0"/>
          <w:numId w:val="0"/>
        </w:numPr>
        <w:spacing w:line="360" w:lineRule="auto"/>
        <w:rPr>
          <w:rFonts w:hint="eastAsia" w:ascii="宋体" w:hAnsi="宋体" w:eastAsia="宋体" w:cs="宋体"/>
          <w:b w:val="0"/>
          <w:bCs w:val="0"/>
          <w:color w:val="auto"/>
          <w:highlight w:val="none"/>
        </w:rPr>
      </w:pPr>
    </w:p>
    <w:p w14:paraId="786B9B9F">
      <w:pPr>
        <w:widowControl w:val="0"/>
        <w:numPr>
          <w:ilvl w:val="0"/>
          <w:numId w:val="0"/>
        </w:numPr>
        <w:spacing w:line="360" w:lineRule="auto"/>
        <w:rPr>
          <w:rFonts w:hint="eastAsia" w:ascii="宋体" w:hAnsi="宋体" w:eastAsia="宋体" w:cs="宋体"/>
          <w:b w:val="0"/>
          <w:bCs w:val="0"/>
          <w:color w:val="auto"/>
          <w:highlight w:val="none"/>
        </w:rPr>
      </w:pPr>
    </w:p>
    <w:p w14:paraId="1AD60F92">
      <w:pPr>
        <w:widowControl w:val="0"/>
        <w:numPr>
          <w:ilvl w:val="0"/>
          <w:numId w:val="0"/>
        </w:numPr>
        <w:spacing w:line="360" w:lineRule="auto"/>
        <w:rPr>
          <w:rFonts w:hint="eastAsia" w:ascii="宋体" w:hAnsi="宋体" w:eastAsia="宋体" w:cs="宋体"/>
          <w:b w:val="0"/>
          <w:bCs w:val="0"/>
          <w:color w:val="auto"/>
          <w:highlight w:val="none"/>
        </w:rPr>
      </w:pPr>
    </w:p>
    <w:p w14:paraId="45D23C8F">
      <w:pPr>
        <w:ind w:left="0" w:leftChars="0" w:firstLine="0" w:firstLineChars="0"/>
        <w:rPr>
          <w:rFonts w:hint="eastAsia" w:ascii="宋体" w:hAnsi="宋体" w:eastAsia="宋体" w:cs="宋体"/>
          <w:color w:val="auto"/>
          <w:highlight w:val="none"/>
          <w:shd w:val="clear" w:color="auto" w:fill="FFFFFF"/>
        </w:rPr>
      </w:pPr>
    </w:p>
    <w:p w14:paraId="4455DCD4">
      <w:pPr>
        <w:keepNext w:val="0"/>
        <w:keepLines w:val="0"/>
        <w:widowControl/>
        <w:numPr>
          <w:ilvl w:val="0"/>
          <w:numId w:val="0"/>
        </w:numPr>
        <w:suppressLineNumbers w:val="0"/>
        <w:ind w:firstLine="480" w:firstLineChars="200"/>
        <w:jc w:val="left"/>
        <w:rPr>
          <w:rFonts w:hint="eastAsia" w:ascii="宋体" w:hAnsi="宋体" w:eastAsia="宋体" w:cs="宋体"/>
          <w:color w:val="auto"/>
          <w:highlight w:val="none"/>
          <w:shd w:val="clear" w:color="auto" w:fill="FFFFFF"/>
        </w:rPr>
      </w:pPr>
      <w:r>
        <w:rPr>
          <w:rFonts w:hint="eastAsia" w:ascii="宋体" w:hAnsi="宋体" w:eastAsia="宋体" w:cs="宋体"/>
          <w:color w:val="auto"/>
          <w:kern w:val="2"/>
          <w:sz w:val="24"/>
          <w:szCs w:val="24"/>
          <w:shd w:val="clear" w:color="auto" w:fill="FFFFFF"/>
          <w:lang w:val="en-US" w:eastAsia="zh-CN" w:bidi="ar-SA"/>
        </w:rPr>
        <w:t>7、</w:t>
      </w:r>
      <w:r>
        <w:rPr>
          <w:rFonts w:hint="eastAsia" w:ascii="宋体" w:hAnsi="宋体" w:eastAsia="宋体" w:cs="宋体"/>
          <w:color w:val="000000"/>
          <w:highlight w:val="none"/>
          <w:lang w:eastAsia="zh-CN"/>
        </w:rPr>
        <w:t>特殊资格要求 ：</w:t>
      </w:r>
      <w:r>
        <w:rPr>
          <w:rFonts w:hint="eastAsia" w:ascii="宋体" w:hAnsi="宋体" w:eastAsia="宋体" w:cs="宋体"/>
          <w:color w:val="000000"/>
          <w:highlight w:val="yellow"/>
          <w:lang w:val="en-US" w:eastAsia="zh-CN"/>
        </w:rPr>
        <w:t>/</w:t>
      </w:r>
      <w:r>
        <w:rPr>
          <w:rFonts w:hint="eastAsia" w:ascii="宋体" w:hAnsi="宋体" w:eastAsia="宋体" w:cs="宋体"/>
          <w:color w:val="000000"/>
          <w:highlight w:val="yellow"/>
        </w:rPr>
        <w:t>。</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lang w:val="en-US" w:eastAsia="zh-CN"/>
        </w:rPr>
        <w:t>提供证书复印件或扫描件）</w:t>
      </w:r>
      <w:r>
        <w:rPr>
          <w:rFonts w:hint="eastAsia" w:ascii="宋体" w:hAnsi="宋体" w:eastAsia="宋体" w:cs="宋体"/>
          <w:color w:val="auto"/>
          <w:highlight w:val="none"/>
          <w:shd w:val="clear" w:color="auto" w:fill="FFFFFF"/>
        </w:rPr>
        <w:br w:type="page"/>
      </w:r>
    </w:p>
    <w:bookmarkEnd w:id="41"/>
    <w:bookmarkEnd w:id="42"/>
    <w:bookmarkEnd w:id="43"/>
    <w:p w14:paraId="2FB5BA2D">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六、商务文件</w:t>
      </w:r>
    </w:p>
    <w:p w14:paraId="1612141D">
      <w:pPr>
        <w:ind w:firstLine="0" w:firstLineChars="0"/>
        <w:jc w:val="center"/>
        <w:rPr>
          <w:rStyle w:val="18"/>
          <w:rFonts w:hint="eastAsia" w:ascii="宋体" w:hAnsi="宋体" w:eastAsia="宋体" w:cs="宋体"/>
          <w:color w:val="auto"/>
          <w:sz w:val="24"/>
          <w:szCs w:val="24"/>
          <w:highlight w:val="none"/>
          <w:lang w:val="en-US" w:eastAsia="zh-CN"/>
        </w:rPr>
      </w:pPr>
      <w:bookmarkStart w:id="44" w:name="_Toc27648"/>
      <w:bookmarkStart w:id="45" w:name="_Toc32612"/>
      <w:bookmarkStart w:id="46" w:name="_Toc15212"/>
      <w:bookmarkStart w:id="47" w:name="_Toc21467"/>
      <w:r>
        <w:rPr>
          <w:rStyle w:val="18"/>
          <w:rFonts w:hint="eastAsia" w:ascii="宋体" w:hAnsi="宋体" w:eastAsia="宋体" w:cs="宋体"/>
          <w:color w:val="auto"/>
          <w:sz w:val="24"/>
          <w:szCs w:val="24"/>
          <w:highlight w:val="none"/>
          <w:lang w:val="en-US" w:eastAsia="zh-CN"/>
        </w:rPr>
        <w:t>（一）商务要求逐条响应相关资料</w:t>
      </w:r>
      <w:bookmarkEnd w:id="44"/>
      <w:bookmarkEnd w:id="45"/>
      <w:bookmarkEnd w:id="46"/>
      <w:bookmarkEnd w:id="47"/>
    </w:p>
    <w:p w14:paraId="2393E3C0">
      <w:pPr>
        <w:ind w:firstLine="0" w:firstLineChars="0"/>
        <w:rPr>
          <w:rFonts w:hint="eastAsia" w:ascii="宋体" w:hAnsi="宋体" w:eastAsia="宋体" w:cs="宋体"/>
          <w:color w:val="auto"/>
          <w:highlight w:val="none"/>
        </w:rPr>
      </w:pPr>
    </w:p>
    <w:p w14:paraId="3516E78E">
      <w:pPr>
        <w:ind w:firstLine="480"/>
        <w:rPr>
          <w:rFonts w:hint="eastAsia" w:ascii="宋体" w:hAnsi="宋体" w:eastAsia="宋体" w:cs="宋体"/>
          <w:color w:val="auto"/>
          <w:highlight w:val="none"/>
        </w:rPr>
      </w:pPr>
    </w:p>
    <w:p w14:paraId="00E00381">
      <w:pPr>
        <w:ind w:firstLine="480"/>
        <w:rPr>
          <w:rFonts w:hint="eastAsia" w:ascii="宋体" w:hAnsi="宋体" w:eastAsia="宋体" w:cs="宋体"/>
          <w:color w:val="auto"/>
          <w:highlight w:val="none"/>
        </w:rPr>
      </w:pPr>
    </w:p>
    <w:p w14:paraId="123639E0">
      <w:pPr>
        <w:ind w:firstLine="0" w:firstLineChars="0"/>
        <w:jc w:val="center"/>
        <w:rPr>
          <w:rStyle w:val="18"/>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highlight w:val="none"/>
        </w:rPr>
        <w:br w:type="page"/>
      </w:r>
      <w:bookmarkStart w:id="48" w:name="_Toc25697"/>
      <w:bookmarkStart w:id="49" w:name="_Toc26270"/>
      <w:bookmarkStart w:id="50" w:name="_Toc6876"/>
      <w:bookmarkStart w:id="51" w:name="_Toc16001"/>
      <w:r>
        <w:rPr>
          <w:rStyle w:val="18"/>
          <w:rFonts w:hint="eastAsia" w:ascii="宋体" w:hAnsi="宋体" w:eastAsia="宋体" w:cs="宋体"/>
          <w:color w:val="auto"/>
          <w:sz w:val="24"/>
          <w:szCs w:val="24"/>
          <w:highlight w:val="none"/>
          <w:lang w:val="en-US" w:eastAsia="zh-CN"/>
        </w:rPr>
        <w:t>（二）供应商认为应该提供的其他证明材料</w:t>
      </w:r>
      <w:bookmarkEnd w:id="48"/>
      <w:bookmarkEnd w:id="49"/>
      <w:bookmarkEnd w:id="50"/>
      <w:bookmarkEnd w:id="51"/>
    </w:p>
    <w:p w14:paraId="776B4496">
      <w:pPr>
        <w:ind w:firstLine="480"/>
        <w:jc w:val="center"/>
        <w:rPr>
          <w:rFonts w:hint="eastAsia" w:ascii="宋体" w:hAnsi="宋体" w:eastAsia="宋体" w:cs="宋体"/>
          <w:color w:val="auto"/>
          <w:highlight w:val="none"/>
          <w:lang w:val="en-US" w:eastAsia="zh-CN"/>
        </w:rPr>
      </w:pPr>
    </w:p>
    <w:p w14:paraId="383F86CF">
      <w:pPr>
        <w:ind w:firstLine="480"/>
        <w:rPr>
          <w:rFonts w:hint="eastAsia" w:ascii="宋体" w:hAnsi="宋体" w:eastAsia="宋体" w:cs="宋体"/>
          <w:color w:val="auto"/>
          <w:highlight w:val="none"/>
        </w:rPr>
      </w:pPr>
    </w:p>
    <w:p w14:paraId="76C9E245">
      <w:pPr>
        <w:ind w:firstLine="480"/>
        <w:rPr>
          <w:rFonts w:hint="eastAsia" w:ascii="宋体" w:hAnsi="宋体" w:eastAsia="宋体" w:cs="宋体"/>
          <w:color w:val="auto"/>
          <w:highlight w:val="none"/>
        </w:rPr>
      </w:pPr>
    </w:p>
    <w:p w14:paraId="0C00ED54">
      <w:pPr>
        <w:ind w:firstLine="0" w:firstLineChars="0"/>
        <w:rPr>
          <w:rFonts w:hint="eastAsia" w:ascii="宋体" w:hAnsi="宋体" w:eastAsia="宋体" w:cs="宋体"/>
          <w:color w:val="auto"/>
          <w:highlight w:val="none"/>
        </w:rPr>
      </w:pPr>
    </w:p>
    <w:p w14:paraId="4997DC9E">
      <w:pPr>
        <w:widowControl/>
        <w:ind w:firstLine="48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EEFCDC">
      <w:pPr>
        <w:ind w:firstLine="0" w:firstLineChars="0"/>
        <w:jc w:val="center"/>
        <w:rPr>
          <w:rStyle w:val="18"/>
          <w:rFonts w:hint="eastAsia" w:ascii="宋体" w:hAnsi="宋体" w:eastAsia="宋体" w:cs="宋体"/>
          <w:color w:val="auto"/>
          <w:highlight w:val="none"/>
          <w:lang w:eastAsia="zh-CN"/>
        </w:rPr>
      </w:pPr>
      <w:bookmarkStart w:id="52" w:name="_Toc22698"/>
      <w:bookmarkStart w:id="53" w:name="_Toc1562"/>
      <w:bookmarkStart w:id="54" w:name="_Toc21090"/>
      <w:bookmarkStart w:id="55" w:name="_Toc10216"/>
      <w:bookmarkStart w:id="56" w:name="_Toc2412"/>
      <w:r>
        <w:rPr>
          <w:rStyle w:val="18"/>
          <w:rFonts w:hint="eastAsia" w:ascii="宋体" w:hAnsi="宋体" w:eastAsia="宋体" w:cs="宋体"/>
          <w:color w:val="auto"/>
          <w:highlight w:val="none"/>
          <w:lang w:eastAsia="zh-CN"/>
        </w:rPr>
        <w:t>七、投标供应商认为需提供的其它材料</w:t>
      </w:r>
      <w:bookmarkEnd w:id="52"/>
      <w:bookmarkEnd w:id="53"/>
      <w:bookmarkEnd w:id="54"/>
      <w:bookmarkEnd w:id="55"/>
      <w:bookmarkEnd w:id="56"/>
    </w:p>
    <w:p w14:paraId="1A9AD276">
      <w:pPr>
        <w:bidi w:val="0"/>
        <w:jc w:val="center"/>
        <w:rPr>
          <w:rFonts w:hint="eastAsia" w:ascii="宋体" w:hAnsi="宋体" w:eastAsia="宋体" w:cs="宋体"/>
          <w:b/>
          <w:bCs/>
          <w:highlight w:val="none"/>
        </w:rPr>
      </w:pPr>
      <w:bookmarkStart w:id="57" w:name="_Toc18232"/>
      <w:bookmarkStart w:id="58" w:name="_Toc23425"/>
      <w:bookmarkStart w:id="59" w:name="_Toc29557"/>
      <w:bookmarkStart w:id="60" w:name="_Toc29311"/>
      <w:r>
        <w:rPr>
          <w:rFonts w:hint="eastAsia" w:ascii="宋体" w:hAnsi="宋体" w:eastAsia="宋体" w:cs="宋体"/>
          <w:b/>
          <w:bCs/>
          <w:highlight w:val="none"/>
        </w:rPr>
        <w:t>1</w:t>
      </w:r>
      <w:r>
        <w:rPr>
          <w:rFonts w:hint="eastAsia" w:ascii="宋体" w:hAnsi="宋体" w:eastAsia="宋体" w:cs="宋体"/>
          <w:b/>
          <w:bCs/>
          <w:highlight w:val="none"/>
          <w:lang w:val="en-US" w:eastAsia="zh-CN"/>
        </w:rPr>
        <w:t>、同意谈判采购条款声明</w:t>
      </w:r>
      <w:bookmarkEnd w:id="57"/>
      <w:bookmarkEnd w:id="58"/>
      <w:bookmarkEnd w:id="59"/>
      <w:bookmarkEnd w:id="60"/>
    </w:p>
    <w:p w14:paraId="5CCE8EB1">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致: </w:t>
      </w:r>
    </w:p>
    <w:p w14:paraId="1EA7780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rPr>
        <w:t>为响应你方组织的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采购项目的</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，项目编为：</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，我方在参与投标前已详细研究了</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的所有内容，包括修改或更改（正）文件（如果有的话）和所有已提供的参考资料以及有关附件，我方完全明白并认为此</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没有倾向性，也没有存在排斥潜在供应商的内容，我方同意</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的相关条款并承诺参与投标后不再对</w:t>
      </w:r>
      <w:r>
        <w:rPr>
          <w:rFonts w:hint="eastAsia" w:ascii="宋体" w:hAnsi="宋体" w:eastAsia="宋体" w:cs="宋体"/>
          <w:color w:val="auto"/>
          <w:kern w:val="0"/>
          <w:highlight w:val="none"/>
          <w:lang w:eastAsia="zh-CN"/>
        </w:rPr>
        <w:t>谈判采购</w:t>
      </w:r>
      <w:r>
        <w:rPr>
          <w:rFonts w:hint="eastAsia" w:ascii="宋体" w:hAnsi="宋体" w:eastAsia="宋体" w:cs="宋体"/>
          <w:color w:val="auto"/>
          <w:kern w:val="0"/>
          <w:highlight w:val="none"/>
        </w:rPr>
        <w:t xml:space="preserve">的任何条款提出质疑或异议。 </w:t>
      </w:r>
    </w:p>
    <w:p w14:paraId="455FEA6F">
      <w:pPr>
        <w:widowControl/>
        <w:ind w:firstLine="480"/>
        <w:rPr>
          <w:rFonts w:hint="eastAsia" w:ascii="宋体" w:hAnsi="宋体" w:eastAsia="宋体" w:cs="宋体"/>
          <w:color w:val="auto"/>
          <w:kern w:val="0"/>
          <w:highlight w:val="none"/>
        </w:rPr>
      </w:pPr>
    </w:p>
    <w:p w14:paraId="49E60DD4">
      <w:pPr>
        <w:widowControl/>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特此声明。 </w:t>
      </w:r>
    </w:p>
    <w:p w14:paraId="2E6D8E6D">
      <w:pPr>
        <w:widowControl/>
        <w:ind w:firstLine="480"/>
        <w:rPr>
          <w:rFonts w:hint="eastAsia" w:ascii="宋体" w:hAnsi="宋体" w:eastAsia="宋体" w:cs="宋体"/>
          <w:color w:val="auto"/>
          <w:kern w:val="0"/>
          <w:highlight w:val="none"/>
        </w:rPr>
      </w:pPr>
    </w:p>
    <w:p w14:paraId="17C250A3">
      <w:pPr>
        <w:widowControl/>
        <w:ind w:firstLine="480"/>
        <w:rPr>
          <w:rFonts w:hint="eastAsia" w:ascii="宋体" w:hAnsi="宋体" w:eastAsia="宋体" w:cs="宋体"/>
          <w:color w:val="auto"/>
          <w:kern w:val="0"/>
          <w:highlight w:val="none"/>
        </w:rPr>
      </w:pPr>
    </w:p>
    <w:p w14:paraId="15617606">
      <w:pPr>
        <w:widowControl/>
        <w:ind w:firstLine="480"/>
        <w:rPr>
          <w:rFonts w:hint="eastAsia" w:ascii="宋体" w:hAnsi="宋体" w:eastAsia="宋体" w:cs="宋体"/>
          <w:color w:val="auto"/>
          <w:kern w:val="0"/>
          <w:highlight w:val="none"/>
        </w:rPr>
      </w:pPr>
    </w:p>
    <w:p w14:paraId="73F4349A">
      <w:pPr>
        <w:widowControl/>
        <w:ind w:firstLine="480"/>
        <w:rPr>
          <w:rFonts w:hint="eastAsia" w:ascii="宋体" w:hAnsi="宋体" w:eastAsia="宋体" w:cs="宋体"/>
          <w:color w:val="auto"/>
          <w:kern w:val="0"/>
          <w:highlight w:val="none"/>
        </w:rPr>
      </w:pPr>
    </w:p>
    <w:p w14:paraId="066CBAB5">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投标供应商：         （公章） </w:t>
      </w:r>
    </w:p>
    <w:p w14:paraId="746DBFEF">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rPr>
        <w:t>日      期：</w:t>
      </w:r>
    </w:p>
    <w:p w14:paraId="774C7434">
      <w:pPr>
        <w:ind w:firstLine="0" w:firstLineChars="0"/>
        <w:rPr>
          <w:rFonts w:hint="eastAsia" w:ascii="宋体" w:hAnsi="宋体" w:eastAsia="宋体" w:cs="宋体"/>
          <w:b/>
          <w:color w:val="auto"/>
          <w:highlight w:val="none"/>
        </w:rPr>
      </w:pPr>
    </w:p>
    <w:p w14:paraId="097B8941">
      <w:pPr>
        <w:bidi w:val="0"/>
        <w:ind w:left="0" w:leftChars="0" w:firstLine="0" w:firstLineChars="0"/>
        <w:jc w:val="both"/>
        <w:rPr>
          <w:rFonts w:hint="eastAsia" w:ascii="宋体" w:hAnsi="宋体" w:eastAsia="宋体" w:cs="宋体"/>
          <w:color w:val="auto"/>
          <w:highlight w:val="none"/>
        </w:rPr>
      </w:pPr>
      <w:r>
        <w:rPr>
          <w:rFonts w:hint="eastAsia" w:ascii="宋体" w:hAnsi="宋体" w:eastAsia="宋体" w:cs="宋体"/>
          <w:b/>
          <w:color w:val="auto"/>
          <w:highlight w:val="none"/>
        </w:rPr>
        <w:br w:type="page"/>
      </w:r>
      <w:bookmarkStart w:id="61" w:name="_Toc7644"/>
      <w:bookmarkStart w:id="62" w:name="_Toc5589"/>
      <w:bookmarkStart w:id="63" w:name="_Toc18422"/>
      <w:bookmarkStart w:id="64" w:name="_Toc24681"/>
      <w:r>
        <w:rPr>
          <w:rFonts w:hint="eastAsia" w:ascii="宋体" w:hAnsi="宋体" w:eastAsia="宋体" w:cs="宋体"/>
          <w:b/>
          <w:bCs/>
          <w:highlight w:val="none"/>
          <w:lang w:val="en-US" w:eastAsia="zh-CN"/>
        </w:rPr>
        <w:t>2、谈判采购要求的其他承诺</w:t>
      </w:r>
      <w:bookmarkEnd w:id="61"/>
      <w:bookmarkEnd w:id="62"/>
      <w:bookmarkEnd w:id="63"/>
      <w:bookmarkEnd w:id="64"/>
    </w:p>
    <w:p w14:paraId="59313F74">
      <w:pPr>
        <w:widowControl/>
        <w:ind w:firstLine="480"/>
        <w:rPr>
          <w:rFonts w:hint="eastAsia" w:ascii="宋体" w:hAnsi="宋体" w:eastAsia="宋体" w:cs="宋体"/>
          <w:color w:val="auto"/>
          <w:kern w:val="0"/>
          <w:highlight w:val="none"/>
        </w:rPr>
      </w:pPr>
      <w:r>
        <w:rPr>
          <w:rFonts w:hint="eastAsia" w:ascii="宋体" w:hAnsi="宋体" w:eastAsia="宋体" w:cs="宋体"/>
          <w:b/>
          <w:bCs/>
          <w:color w:val="auto"/>
          <w:highlight w:val="none"/>
        </w:rPr>
        <w:t>近三年企业信誉良好，无重大质量、安全事故及市场违法违规不良行为记录；企业没有处于被责令停业、投标资格被取消、财产被接管、冻结、破产状态</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提供承诺书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14:paraId="4F15E881">
      <w:pPr>
        <w:widowControl/>
        <w:ind w:firstLine="480"/>
        <w:rPr>
          <w:rFonts w:hint="eastAsia" w:ascii="宋体" w:hAnsi="宋体" w:eastAsia="宋体" w:cs="宋体"/>
          <w:color w:val="auto"/>
          <w:kern w:val="0"/>
          <w:highlight w:val="none"/>
        </w:rPr>
      </w:pPr>
    </w:p>
    <w:p w14:paraId="06062278">
      <w:pPr>
        <w:widowControl/>
        <w:ind w:firstLine="480"/>
        <w:jc w:val="center"/>
        <w:rPr>
          <w:rFonts w:hint="default" w:ascii="宋体" w:hAnsi="宋体" w:eastAsia="宋体" w:cs="宋体"/>
          <w:b/>
          <w:bCs/>
          <w:color w:val="auto"/>
          <w:kern w:val="0"/>
          <w:sz w:val="36"/>
          <w:szCs w:val="36"/>
          <w:highlight w:val="none"/>
          <w:lang w:val="en-US" w:eastAsia="zh-CN"/>
        </w:rPr>
      </w:pPr>
      <w:r>
        <w:rPr>
          <w:rFonts w:hint="eastAsia" w:ascii="宋体" w:hAnsi="宋体" w:eastAsia="宋体" w:cs="宋体"/>
          <w:b/>
          <w:bCs/>
          <w:color w:val="auto"/>
          <w:kern w:val="0"/>
          <w:sz w:val="36"/>
          <w:szCs w:val="36"/>
          <w:highlight w:val="none"/>
          <w:lang w:val="en-US" w:eastAsia="zh-CN"/>
        </w:rPr>
        <w:t>近三年无重大违法行为的承诺书</w:t>
      </w:r>
    </w:p>
    <w:p w14:paraId="20576AC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A27289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63F7836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我公司近三年企业信誉良好，无重大质量、安全事故及市场违法违规不良行为记录；企业没有处于被责令停业、投标资格被取消、财产被接管、冻结、破产状态。</w:t>
      </w:r>
    </w:p>
    <w:p w14:paraId="0B4FA7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58DDB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9DF2E5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3CADFB2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F96F8A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A2ADA2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37B0454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1A1E5B1">
      <w:pPr>
        <w:widowControl/>
        <w:ind w:firstLine="480"/>
        <w:jc w:val="right"/>
        <w:rPr>
          <w:rFonts w:hint="eastAsia" w:ascii="宋体" w:hAnsi="宋体" w:eastAsia="宋体" w:cs="宋体"/>
          <w:color w:val="auto"/>
          <w:kern w:val="0"/>
          <w:highlight w:val="none"/>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20B0A9E2">
      <w:pPr>
        <w:ind w:left="0" w:leftChars="0" w:firstLine="0" w:firstLineChars="0"/>
        <w:rPr>
          <w:rFonts w:hint="default"/>
          <w:highlight w:val="none"/>
          <w:lang w:val="en-US" w:eastAsia="zh-CN"/>
        </w:rPr>
      </w:pPr>
    </w:p>
    <w:p w14:paraId="1B73BBF0">
      <w:pPr>
        <w:widowControl/>
        <w:ind w:firstLine="4800" w:firstLineChars="2000"/>
        <w:rPr>
          <w:rFonts w:hint="eastAsia" w:ascii="宋体" w:hAnsi="宋体" w:eastAsia="宋体" w:cs="宋体"/>
          <w:color w:val="auto"/>
          <w:highlight w:val="none"/>
        </w:rPr>
      </w:pPr>
    </w:p>
    <w:p w14:paraId="20514A47">
      <w:pPr>
        <w:ind w:firstLine="56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43E24AB9">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八、技术方案</w:t>
      </w:r>
    </w:p>
    <w:p w14:paraId="356B11F4">
      <w:pPr>
        <w:ind w:left="0" w:leftChars="0" w:firstLine="0" w:firstLineChars="0"/>
        <w:jc w:val="center"/>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（格式自拟）</w:t>
      </w:r>
    </w:p>
    <w:p w14:paraId="5C098A8D"/>
    <w:sectPr>
      <w:pgSz w:w="11905" w:h="16838"/>
      <w:pgMar w:top="1417" w:right="1417" w:bottom="1417" w:left="1417"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9C17">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1919">
    <w:pPr>
      <w:pStyle w:val="7"/>
      <w:ind w:firstLine="36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F142414">
                          <w:pPr>
                            <w:pStyle w:val="7"/>
                            <w:ind w:firstLine="360"/>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0F142414">
                    <w:pPr>
                      <w:pStyle w:val="7"/>
                      <w:ind w:firstLine="360"/>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E1E0">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rPr>
        <w:rFonts w:hint="default"/>
        <w:highligh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9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3"/>
    <w:basedOn w:val="1"/>
    <w:next w:val="1"/>
    <w:qFormat/>
    <w:uiPriority w:val="9"/>
    <w:pPr>
      <w:keepNext/>
      <w:keepLines/>
      <w:tabs>
        <w:tab w:val="left" w:pos="3402"/>
      </w:tabs>
      <w:spacing w:beforeLines="100" w:afterLines="100"/>
      <w:ind w:firstLine="0" w:firstLineChars="0"/>
      <w:contextualSpacing/>
      <w:jc w:val="center"/>
      <w:outlineLvl w:val="2"/>
    </w:pPr>
    <w:rPr>
      <w:rFonts w:eastAsia="黑体"/>
      <w:bCs/>
      <w:kern w:val="0"/>
      <w:szCs w:val="32"/>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eastAsia="宋体"/>
      <w:kern w:val="0"/>
      <w:sz w:val="20"/>
    </w:rPr>
  </w:style>
  <w:style w:type="paragraph" w:styleId="5">
    <w:name w:val="Body Text"/>
    <w:basedOn w:val="1"/>
    <w:next w:val="1"/>
    <w:qFormat/>
    <w:uiPriority w:val="99"/>
    <w:pPr>
      <w:spacing w:after="120"/>
    </w:pPr>
    <w:rPr>
      <w:rFonts w:ascii="Calibri" w:hAnsi="Calibri" w:eastAsia="宋体"/>
      <w:szCs w:val="22"/>
    </w:rPr>
  </w:style>
  <w:style w:type="paragraph" w:styleId="6">
    <w:name w:val="toc 3"/>
    <w:basedOn w:val="1"/>
    <w:next w:val="1"/>
    <w:qFormat/>
    <w:uiPriority w:val="39"/>
    <w:pPr>
      <w:ind w:left="840" w:leftChars="400"/>
    </w:pPr>
  </w:style>
  <w:style w:type="paragraph" w:styleId="7">
    <w:name w:val="footer"/>
    <w:basedOn w:val="1"/>
    <w:qFormat/>
    <w:uiPriority w:val="99"/>
    <w:pPr>
      <w:tabs>
        <w:tab w:val="center" w:pos="4153"/>
        <w:tab w:val="right" w:pos="8306"/>
      </w:tabs>
      <w:snapToGrid w:val="0"/>
    </w:pPr>
    <w:rPr>
      <w:rFonts w:eastAsia="宋体"/>
      <w:kern w:val="0"/>
      <w:sz w:val="18"/>
      <w:szCs w:val="18"/>
    </w:rPr>
  </w:style>
  <w:style w:type="paragraph" w:styleId="8">
    <w:name w:val="toc 1"/>
    <w:basedOn w:val="1"/>
    <w:next w:val="1"/>
    <w:qFormat/>
    <w:uiPriority w:val="39"/>
    <w:pPr>
      <w:tabs>
        <w:tab w:val="right" w:leader="dot" w:pos="8721"/>
      </w:tabs>
      <w:spacing w:line="300" w:lineRule="auto"/>
      <w:ind w:firstLine="0" w:firstLineChars="0"/>
      <w:jc w:val="center"/>
    </w:pPr>
    <w:rPr>
      <w:rFonts w:ascii="黑体" w:hAnsi="黑体" w:eastAsia="黑体"/>
      <w:sz w:val="28"/>
      <w:szCs w:val="28"/>
    </w:rPr>
  </w:style>
  <w:style w:type="paragraph" w:styleId="9">
    <w:name w:val="Body Text Indent 3"/>
    <w:basedOn w:val="1"/>
    <w:qFormat/>
    <w:uiPriority w:val="0"/>
    <w:pPr>
      <w:spacing w:line="240" w:lineRule="auto"/>
      <w:ind w:firstLine="0" w:firstLineChars="0"/>
      <w:contextualSpacing/>
    </w:pPr>
    <w:rPr>
      <w:kern w:val="0"/>
      <w:szCs w:val="16"/>
    </w:rPr>
  </w:style>
  <w:style w:type="paragraph" w:styleId="10">
    <w:name w:val="Body Text First Indent 2"/>
    <w:next w:val="11"/>
    <w:qFormat/>
    <w:uiPriority w:val="0"/>
    <w:pPr>
      <w:widowControl w:val="0"/>
      <w:snapToGrid w:val="0"/>
      <w:spacing w:after="0"/>
      <w:ind w:left="482" w:leftChars="0" w:firstLine="480"/>
      <w:jc w:val="both"/>
    </w:pPr>
    <w:rPr>
      <w:rFonts w:ascii="Calibri" w:hAnsi="仿宋" w:eastAsia="宋体" w:cs="黑体"/>
      <w:kern w:val="2"/>
      <w:sz w:val="21"/>
      <w:szCs w:val="24"/>
      <w:lang w:val="en-US" w:eastAsia="zh-CN" w:bidi="ar-SA"/>
    </w:rPr>
  </w:style>
  <w:style w:type="paragraph" w:customStyle="1" w:styleId="11">
    <w:name w:val="正文格式"/>
    <w:qFormat/>
    <w:uiPriority w:val="99"/>
    <w:pPr>
      <w:widowControl w:val="0"/>
      <w:jc w:val="both"/>
    </w:pPr>
    <w:rPr>
      <w:rFonts w:ascii="宋体" w:hAnsi="宋体" w:eastAsia="宋体" w:cs="Times New Roman"/>
      <w:kern w:val="2"/>
      <w:sz w:val="28"/>
      <w:szCs w:val="24"/>
      <w:lang w:val="en-US" w:eastAsia="zh-CN" w:bidi="ar-SA"/>
    </w:rPr>
  </w:style>
  <w:style w:type="character" w:styleId="14">
    <w:name w:val="Strong"/>
    <w:qFormat/>
    <w:uiPriority w:val="22"/>
    <w:rPr>
      <w:rFonts w:eastAsia="黑体"/>
      <w:bCs/>
    </w:rPr>
  </w:style>
  <w:style w:type="paragraph" w:customStyle="1" w:styleId="15">
    <w:name w:val="样式 标题 3 + (中文) 黑体 小四 非加粗 段前: 7.8 磅 段后: 0 磅 行距: 固定值 20 磅"/>
    <w:basedOn w:val="3"/>
    <w:qFormat/>
    <w:uiPriority w:val="0"/>
    <w:pPr>
      <w:spacing w:line="400" w:lineRule="exact"/>
    </w:pPr>
    <w:rPr>
      <w:rFonts w:cs="宋体"/>
      <w:szCs w:val="20"/>
    </w:rPr>
  </w:style>
  <w:style w:type="paragraph" w:customStyle="1" w:styleId="16">
    <w:name w:val="Default"/>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7">
    <w:name w:val="Table Text"/>
    <w:basedOn w:val="1"/>
    <w:qFormat/>
    <w:uiPriority w:val="0"/>
    <w:rPr>
      <w:rFonts w:ascii="仿宋" w:hAnsi="仿宋" w:eastAsia="仿宋" w:cs="仿宋"/>
      <w:sz w:val="24"/>
      <w:szCs w:val="24"/>
      <w:lang w:val="en-US" w:eastAsia="en-US" w:bidi="ar-SA"/>
    </w:rPr>
  </w:style>
  <w:style w:type="character" w:customStyle="1" w:styleId="18">
    <w:name w:val="书籍标题1"/>
    <w:qFormat/>
    <w:uiPriority w:val="33"/>
    <w:rPr>
      <w:rFonts w:eastAsia="仿宋_GB2312"/>
      <w:b/>
      <w:bCs/>
      <w:smallCaps/>
      <w:spacing w:val="5"/>
      <w:sz w:val="36"/>
    </w:rPr>
  </w:style>
  <w:style w:type="character" w:customStyle="1" w:styleId="19">
    <w:name w:val="_Style 88"/>
    <w:qFormat/>
    <w:uiPriority w:val="33"/>
    <w:rPr>
      <w:rFonts w:eastAsia="仿宋_GB2312"/>
      <w:b/>
      <w:bCs/>
      <w:smallCaps/>
      <w:spacing w:val="5"/>
      <w:sz w:val="36"/>
    </w:rPr>
  </w:style>
  <w:style w:type="character" w:customStyle="1" w:styleId="20">
    <w:name w:val="_Style 2"/>
    <w:qFormat/>
    <w:uiPriority w:val="33"/>
    <w:rPr>
      <w:rFonts w:eastAsia="仿宋_GB2312"/>
      <w:b/>
      <w:bCs/>
      <w:smallCaps/>
      <w:spacing w:val="5"/>
      <w:sz w:val="36"/>
    </w:rPr>
  </w:style>
  <w:style w:type="table" w:customStyle="1" w:styleId="2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2714</Words>
  <Characters>2983</Characters>
  <Paragraphs>1094</Paragraphs>
  <TotalTime>7</TotalTime>
  <ScaleCrop>false</ScaleCrop>
  <LinksUpToDate>false</LinksUpToDate>
  <CharactersWithSpaces>3058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2026-01-20T07:44:00Z</dcterms:created>
  <dc:creator>点亮眉心那一道光</dc:creator>
  <cp:lastModifiedBy>lky</cp:lastModifiedBy>
  <dcterms:modified xsi:type="dcterms:W3CDTF">2026-05-28T07:54:10Z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6097AF596FCC4E108A2AADAC4F6DB63B_13</vt:lpwstr>
  </property>
  <property fmtid="{D5CDD505-2E9C-101B-9397-08002B2CF9AE}" pid="4" name="KSOTemplateDocerSaveRecord">
    <vt:lpwstr>eyJoZGlkIjoiNjhjNTY5NjIyZWQwM2YyZjcyZDg0Y2NmY2I4MmU0YzgiLCJ1c2VySWQiOiIyOTQ0Mjc5NzcifQ==</vt:lpwstr>
  </property>
</Properties>
</file>